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A3B1" w14:textId="0864C3B0" w:rsidR="00182DDA" w:rsidRPr="00182DDA" w:rsidRDefault="00525F2A" w:rsidP="00182DDA">
      <w:pPr>
        <w:pStyle w:val="NoSpacing"/>
        <w:rPr>
          <w:rFonts w:ascii="Verdana" w:hAnsi="Verdana"/>
          <w:b/>
          <w:sz w:val="20"/>
          <w:szCs w:val="20"/>
        </w:rPr>
      </w:pPr>
      <w:r w:rsidRPr="00182DDA">
        <w:rPr>
          <w:rFonts w:ascii="Verdana" w:hAnsi="Verdana"/>
          <w:b/>
          <w:sz w:val="20"/>
          <w:szCs w:val="20"/>
        </w:rPr>
        <w:t xml:space="preserve">POLICY:  </w:t>
      </w:r>
      <w:r w:rsidR="00182DDA" w:rsidRPr="00182DDA">
        <w:rPr>
          <w:rFonts w:ascii="Verdana" w:hAnsi="Verdana"/>
          <w:b/>
          <w:sz w:val="20"/>
          <w:szCs w:val="20"/>
        </w:rPr>
        <w:t>Learner Appeals and Academic Appeals Policy</w:t>
      </w:r>
    </w:p>
    <w:p w14:paraId="0212719B" w14:textId="77777777" w:rsidR="00182DDA" w:rsidRPr="00182DDA" w:rsidRDefault="00182DDA" w:rsidP="00182DDA">
      <w:pPr>
        <w:pStyle w:val="NoSpacing"/>
        <w:rPr>
          <w:rFonts w:ascii="Verdana" w:hAnsi="Verdana"/>
          <w:bCs/>
          <w:sz w:val="20"/>
          <w:szCs w:val="20"/>
        </w:rPr>
      </w:pPr>
    </w:p>
    <w:p w14:paraId="6423BB22" w14:textId="2B4FDF4C" w:rsidR="00182DDA" w:rsidRPr="00182DDA" w:rsidRDefault="00182DDA" w:rsidP="00182DDA">
      <w:pPr>
        <w:pStyle w:val="NoSpacing"/>
        <w:numPr>
          <w:ilvl w:val="0"/>
          <w:numId w:val="29"/>
        </w:numPr>
        <w:rPr>
          <w:rFonts w:ascii="Verdana" w:hAnsi="Verdana"/>
          <w:b/>
          <w:sz w:val="20"/>
          <w:szCs w:val="20"/>
        </w:rPr>
      </w:pPr>
      <w:r w:rsidRPr="00182DDA">
        <w:rPr>
          <w:rFonts w:ascii="Verdana" w:hAnsi="Verdana"/>
          <w:b/>
          <w:sz w:val="20"/>
          <w:szCs w:val="20"/>
        </w:rPr>
        <w:t>Purpose</w:t>
      </w:r>
    </w:p>
    <w:p w14:paraId="56C6FFCA" w14:textId="77777777" w:rsidR="00182DDA" w:rsidRPr="00182DDA" w:rsidRDefault="00182DDA" w:rsidP="00182DDA">
      <w:pPr>
        <w:pStyle w:val="NoSpacing"/>
        <w:ind w:left="1080"/>
        <w:rPr>
          <w:rFonts w:ascii="Verdana" w:hAnsi="Verdana"/>
          <w:bCs/>
          <w:sz w:val="20"/>
          <w:szCs w:val="20"/>
        </w:rPr>
      </w:pPr>
    </w:p>
    <w:p w14:paraId="49CEE7A2"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This policy sets out Stoke on Trent College’s arrangements for learner appeals in both Further Education (FE) and Higher Education (HE) provision. It ensures that appeals are managed fairly, transparently and consistently, and that the College meets:</w:t>
      </w:r>
    </w:p>
    <w:p w14:paraId="73748599" w14:textId="77777777" w:rsidR="00142FA0" w:rsidRPr="00182DDA" w:rsidRDefault="00142FA0" w:rsidP="00182DDA">
      <w:pPr>
        <w:pStyle w:val="NoSpacing"/>
        <w:ind w:left="720"/>
        <w:rPr>
          <w:rFonts w:ascii="Verdana" w:hAnsi="Verdana"/>
          <w:bCs/>
          <w:sz w:val="20"/>
          <w:szCs w:val="20"/>
        </w:rPr>
      </w:pPr>
    </w:p>
    <w:p w14:paraId="21991B5A" w14:textId="77777777" w:rsidR="00182DDA" w:rsidRPr="00182DDA" w:rsidRDefault="00182DDA" w:rsidP="00182DDA">
      <w:pPr>
        <w:pStyle w:val="NoSpacing"/>
        <w:numPr>
          <w:ilvl w:val="0"/>
          <w:numId w:val="17"/>
        </w:numPr>
        <w:rPr>
          <w:rFonts w:ascii="Verdana" w:hAnsi="Verdana"/>
          <w:bCs/>
          <w:sz w:val="20"/>
          <w:szCs w:val="20"/>
        </w:rPr>
      </w:pPr>
      <w:r w:rsidRPr="00182DDA">
        <w:rPr>
          <w:rFonts w:ascii="Verdana" w:hAnsi="Verdana"/>
          <w:bCs/>
          <w:sz w:val="20"/>
          <w:szCs w:val="20"/>
        </w:rPr>
        <w:t>Joint Council for Qualifications (JCQ) requirements for FE qualifications and post-results services; and</w:t>
      </w:r>
    </w:p>
    <w:p w14:paraId="09BB1BF2" w14:textId="77777777" w:rsidR="00182DDA" w:rsidRDefault="00182DDA" w:rsidP="00182DDA">
      <w:pPr>
        <w:pStyle w:val="NoSpacing"/>
        <w:numPr>
          <w:ilvl w:val="0"/>
          <w:numId w:val="17"/>
        </w:numPr>
        <w:rPr>
          <w:rFonts w:ascii="Verdana" w:hAnsi="Verdana"/>
          <w:bCs/>
          <w:sz w:val="20"/>
          <w:szCs w:val="20"/>
        </w:rPr>
      </w:pPr>
      <w:r w:rsidRPr="00182DDA">
        <w:rPr>
          <w:rFonts w:ascii="Verdana" w:hAnsi="Verdana"/>
          <w:bCs/>
          <w:sz w:val="20"/>
          <w:szCs w:val="20"/>
        </w:rPr>
        <w:t>Office for Students (</w:t>
      </w:r>
      <w:proofErr w:type="spellStart"/>
      <w:r w:rsidRPr="00182DDA">
        <w:rPr>
          <w:rFonts w:ascii="Verdana" w:hAnsi="Verdana"/>
          <w:bCs/>
          <w:sz w:val="20"/>
          <w:szCs w:val="20"/>
        </w:rPr>
        <w:t>OfS</w:t>
      </w:r>
      <w:proofErr w:type="spellEnd"/>
      <w:r w:rsidRPr="00182DDA">
        <w:rPr>
          <w:rFonts w:ascii="Verdana" w:hAnsi="Verdana"/>
          <w:bCs/>
          <w:sz w:val="20"/>
          <w:szCs w:val="20"/>
        </w:rPr>
        <w:t>) Conditions of Registration, including learners’ rights to access the Office of the Independent Adjudicator (OIA) for HE-related academic concerns once internal processes are exhausted.</w:t>
      </w:r>
    </w:p>
    <w:p w14:paraId="3452B3EC" w14:textId="77777777" w:rsidR="00142FA0" w:rsidRPr="00182DDA" w:rsidRDefault="00142FA0" w:rsidP="00644E2A">
      <w:pPr>
        <w:pStyle w:val="NoSpacing"/>
        <w:ind w:left="720"/>
        <w:rPr>
          <w:rFonts w:ascii="Verdana" w:hAnsi="Verdana"/>
          <w:bCs/>
          <w:sz w:val="20"/>
          <w:szCs w:val="20"/>
        </w:rPr>
      </w:pPr>
    </w:p>
    <w:p w14:paraId="2F7D3870" w14:textId="048BC130" w:rsidR="00182DDA" w:rsidRDefault="00182DDA" w:rsidP="00142FA0">
      <w:pPr>
        <w:pStyle w:val="NoSpacing"/>
        <w:numPr>
          <w:ilvl w:val="0"/>
          <w:numId w:val="29"/>
        </w:numPr>
        <w:rPr>
          <w:rFonts w:ascii="Verdana" w:hAnsi="Verdana"/>
          <w:b/>
          <w:sz w:val="20"/>
          <w:szCs w:val="20"/>
        </w:rPr>
      </w:pPr>
      <w:r w:rsidRPr="00142FA0">
        <w:rPr>
          <w:rFonts w:ascii="Verdana" w:hAnsi="Verdana"/>
          <w:b/>
          <w:sz w:val="20"/>
          <w:szCs w:val="20"/>
        </w:rPr>
        <w:t>Scope</w:t>
      </w:r>
    </w:p>
    <w:p w14:paraId="2D85E415" w14:textId="77777777" w:rsidR="00142FA0" w:rsidRPr="00142FA0" w:rsidRDefault="00142FA0" w:rsidP="00142FA0">
      <w:pPr>
        <w:pStyle w:val="NoSpacing"/>
        <w:ind w:left="1080"/>
        <w:rPr>
          <w:rFonts w:ascii="Verdana" w:hAnsi="Verdana"/>
          <w:b/>
          <w:sz w:val="20"/>
          <w:szCs w:val="20"/>
        </w:rPr>
      </w:pPr>
    </w:p>
    <w:p w14:paraId="71EAE552"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This policy applies to:</w:t>
      </w:r>
    </w:p>
    <w:p w14:paraId="52B84866" w14:textId="77777777" w:rsidR="00142FA0" w:rsidRPr="00182DDA" w:rsidRDefault="00142FA0" w:rsidP="00182DDA">
      <w:pPr>
        <w:pStyle w:val="NoSpacing"/>
        <w:ind w:left="720"/>
        <w:rPr>
          <w:rFonts w:ascii="Verdana" w:hAnsi="Verdana"/>
          <w:bCs/>
          <w:sz w:val="20"/>
          <w:szCs w:val="20"/>
        </w:rPr>
      </w:pPr>
    </w:p>
    <w:p w14:paraId="5B6C6350" w14:textId="77777777" w:rsidR="00182DDA" w:rsidRPr="00182DDA" w:rsidRDefault="00182DDA" w:rsidP="00182DDA">
      <w:pPr>
        <w:pStyle w:val="NoSpacing"/>
        <w:numPr>
          <w:ilvl w:val="0"/>
          <w:numId w:val="18"/>
        </w:numPr>
        <w:rPr>
          <w:rFonts w:ascii="Verdana" w:hAnsi="Verdana"/>
          <w:bCs/>
          <w:sz w:val="20"/>
          <w:szCs w:val="20"/>
        </w:rPr>
      </w:pPr>
      <w:r w:rsidRPr="00182DDA">
        <w:rPr>
          <w:rFonts w:ascii="Verdana" w:hAnsi="Verdana"/>
          <w:bCs/>
          <w:sz w:val="20"/>
          <w:szCs w:val="20"/>
        </w:rPr>
        <w:t>FE provision (Entry Level to Level 3, including apprenticeships and other qualifications regulated by awarding bodies and JCQ);</w:t>
      </w:r>
    </w:p>
    <w:p w14:paraId="682ADCE3" w14:textId="77777777" w:rsidR="00182DDA" w:rsidRPr="00182DDA" w:rsidRDefault="00182DDA" w:rsidP="00182DDA">
      <w:pPr>
        <w:pStyle w:val="NoSpacing"/>
        <w:numPr>
          <w:ilvl w:val="0"/>
          <w:numId w:val="18"/>
        </w:numPr>
        <w:rPr>
          <w:rFonts w:ascii="Verdana" w:hAnsi="Verdana"/>
          <w:bCs/>
          <w:sz w:val="20"/>
          <w:szCs w:val="20"/>
        </w:rPr>
      </w:pPr>
      <w:r w:rsidRPr="00182DDA">
        <w:rPr>
          <w:rFonts w:ascii="Verdana" w:hAnsi="Verdana"/>
          <w:bCs/>
          <w:sz w:val="20"/>
          <w:szCs w:val="20"/>
        </w:rPr>
        <w:t xml:space="preserve">HE </w:t>
      </w:r>
      <w:proofErr w:type="gramStart"/>
      <w:r w:rsidRPr="00182DDA">
        <w:rPr>
          <w:rFonts w:ascii="Verdana" w:hAnsi="Verdana"/>
          <w:bCs/>
          <w:sz w:val="20"/>
          <w:szCs w:val="20"/>
        </w:rPr>
        <w:t>provision</w:t>
      </w:r>
      <w:proofErr w:type="gramEnd"/>
      <w:r w:rsidRPr="00182DDA">
        <w:rPr>
          <w:rFonts w:ascii="Verdana" w:hAnsi="Verdana"/>
          <w:bCs/>
          <w:sz w:val="20"/>
          <w:szCs w:val="20"/>
        </w:rPr>
        <w:t xml:space="preserve"> (Level 4 and above), including Pearson Higher Nationals, higher technical qualifications, and any other programmes designated as higher education.</w:t>
      </w:r>
    </w:p>
    <w:p w14:paraId="4F68CEB9"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Where specific awarding body or validating partner regulations apply, these take precedence and are referenced within this policy.</w:t>
      </w:r>
    </w:p>
    <w:p w14:paraId="57B0F75B" w14:textId="77777777" w:rsidR="00142FA0" w:rsidRPr="00182DDA" w:rsidRDefault="00142FA0" w:rsidP="00182DDA">
      <w:pPr>
        <w:pStyle w:val="NoSpacing"/>
        <w:ind w:left="720"/>
        <w:rPr>
          <w:rFonts w:ascii="Verdana" w:hAnsi="Verdana"/>
          <w:bCs/>
          <w:sz w:val="20"/>
          <w:szCs w:val="20"/>
        </w:rPr>
      </w:pPr>
    </w:p>
    <w:p w14:paraId="02CF7C62" w14:textId="7149AB78" w:rsidR="00182DDA" w:rsidRDefault="00182DDA" w:rsidP="00142FA0">
      <w:pPr>
        <w:pStyle w:val="NoSpacing"/>
        <w:numPr>
          <w:ilvl w:val="0"/>
          <w:numId w:val="29"/>
        </w:numPr>
        <w:rPr>
          <w:rFonts w:ascii="Verdana" w:hAnsi="Verdana"/>
          <w:b/>
          <w:sz w:val="20"/>
          <w:szCs w:val="20"/>
        </w:rPr>
      </w:pPr>
      <w:r w:rsidRPr="00142FA0">
        <w:rPr>
          <w:rFonts w:ascii="Verdana" w:hAnsi="Verdana"/>
          <w:b/>
          <w:sz w:val="20"/>
          <w:szCs w:val="20"/>
        </w:rPr>
        <w:t>Principles</w:t>
      </w:r>
    </w:p>
    <w:p w14:paraId="262840C6" w14:textId="77777777" w:rsidR="00142FA0" w:rsidRPr="00142FA0" w:rsidRDefault="00142FA0" w:rsidP="00142FA0">
      <w:pPr>
        <w:pStyle w:val="NoSpacing"/>
        <w:ind w:left="1080"/>
        <w:rPr>
          <w:rFonts w:ascii="Verdana" w:hAnsi="Verdana"/>
          <w:b/>
          <w:sz w:val="20"/>
          <w:szCs w:val="20"/>
        </w:rPr>
      </w:pPr>
    </w:p>
    <w:p w14:paraId="6CE361AA"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The College is committed to ensuring that:</w:t>
      </w:r>
    </w:p>
    <w:p w14:paraId="6AC970EA" w14:textId="77777777" w:rsidR="00313589" w:rsidRPr="00182DDA" w:rsidRDefault="00313589" w:rsidP="00182DDA">
      <w:pPr>
        <w:pStyle w:val="NoSpacing"/>
        <w:ind w:left="720"/>
        <w:rPr>
          <w:rFonts w:ascii="Verdana" w:hAnsi="Verdana"/>
          <w:bCs/>
          <w:sz w:val="20"/>
          <w:szCs w:val="20"/>
        </w:rPr>
      </w:pPr>
    </w:p>
    <w:p w14:paraId="6A269B16" w14:textId="77777777" w:rsidR="00182DDA" w:rsidRPr="00182DDA" w:rsidRDefault="00182DDA" w:rsidP="00182DDA">
      <w:pPr>
        <w:pStyle w:val="NoSpacing"/>
        <w:numPr>
          <w:ilvl w:val="0"/>
          <w:numId w:val="19"/>
        </w:numPr>
        <w:rPr>
          <w:rFonts w:ascii="Verdana" w:hAnsi="Verdana"/>
          <w:bCs/>
          <w:sz w:val="20"/>
          <w:szCs w:val="20"/>
        </w:rPr>
      </w:pPr>
      <w:r w:rsidRPr="00182DDA">
        <w:rPr>
          <w:rFonts w:ascii="Verdana" w:hAnsi="Verdana"/>
          <w:bCs/>
          <w:sz w:val="20"/>
          <w:szCs w:val="20"/>
        </w:rPr>
        <w:t>Learners understand how to raise an appeal and are supported to do so;</w:t>
      </w:r>
    </w:p>
    <w:p w14:paraId="66189426" w14:textId="77777777" w:rsidR="00182DDA" w:rsidRPr="00182DDA" w:rsidRDefault="00182DDA" w:rsidP="00182DDA">
      <w:pPr>
        <w:pStyle w:val="NoSpacing"/>
        <w:numPr>
          <w:ilvl w:val="0"/>
          <w:numId w:val="19"/>
        </w:numPr>
        <w:rPr>
          <w:rFonts w:ascii="Verdana" w:hAnsi="Verdana"/>
          <w:bCs/>
          <w:sz w:val="20"/>
          <w:szCs w:val="20"/>
        </w:rPr>
      </w:pPr>
      <w:r w:rsidRPr="00182DDA">
        <w:rPr>
          <w:rFonts w:ascii="Verdana" w:hAnsi="Verdana"/>
          <w:bCs/>
          <w:sz w:val="20"/>
          <w:szCs w:val="20"/>
        </w:rPr>
        <w:t>Appeals are handled promptly, impartially and in line with published timescales;</w:t>
      </w:r>
    </w:p>
    <w:p w14:paraId="57F86AFE" w14:textId="77777777" w:rsidR="00182DDA" w:rsidRPr="00182DDA" w:rsidRDefault="00182DDA" w:rsidP="00182DDA">
      <w:pPr>
        <w:pStyle w:val="NoSpacing"/>
        <w:numPr>
          <w:ilvl w:val="0"/>
          <w:numId w:val="19"/>
        </w:numPr>
        <w:rPr>
          <w:rFonts w:ascii="Verdana" w:hAnsi="Verdana"/>
          <w:bCs/>
          <w:sz w:val="20"/>
          <w:szCs w:val="20"/>
        </w:rPr>
      </w:pPr>
      <w:r w:rsidRPr="00182DDA">
        <w:rPr>
          <w:rFonts w:ascii="Verdana" w:hAnsi="Verdana"/>
          <w:bCs/>
          <w:sz w:val="20"/>
          <w:szCs w:val="20"/>
        </w:rPr>
        <w:t>Decisions are evidence-based and aligned to awarding body or academic regulations;</w:t>
      </w:r>
    </w:p>
    <w:p w14:paraId="702D6F68" w14:textId="77777777" w:rsidR="00182DDA" w:rsidRPr="00182DDA" w:rsidRDefault="00182DDA" w:rsidP="00182DDA">
      <w:pPr>
        <w:pStyle w:val="NoSpacing"/>
        <w:numPr>
          <w:ilvl w:val="0"/>
          <w:numId w:val="19"/>
        </w:numPr>
        <w:rPr>
          <w:rFonts w:ascii="Verdana" w:hAnsi="Verdana"/>
          <w:bCs/>
          <w:sz w:val="20"/>
          <w:szCs w:val="20"/>
        </w:rPr>
      </w:pPr>
      <w:r w:rsidRPr="00182DDA">
        <w:rPr>
          <w:rFonts w:ascii="Verdana" w:hAnsi="Verdana"/>
          <w:bCs/>
          <w:sz w:val="20"/>
          <w:szCs w:val="20"/>
        </w:rPr>
        <w:t>Learners are not disadvantaged for raising an appeal;</w:t>
      </w:r>
    </w:p>
    <w:p w14:paraId="1A17E085" w14:textId="77777777" w:rsidR="00182DDA" w:rsidRDefault="00182DDA" w:rsidP="00182DDA">
      <w:pPr>
        <w:pStyle w:val="NoSpacing"/>
        <w:numPr>
          <w:ilvl w:val="0"/>
          <w:numId w:val="19"/>
        </w:numPr>
        <w:rPr>
          <w:rFonts w:ascii="Verdana" w:hAnsi="Verdana"/>
          <w:bCs/>
          <w:sz w:val="20"/>
          <w:szCs w:val="20"/>
        </w:rPr>
      </w:pPr>
      <w:r w:rsidRPr="00182DDA">
        <w:rPr>
          <w:rFonts w:ascii="Verdana" w:hAnsi="Verdana"/>
          <w:bCs/>
          <w:sz w:val="20"/>
          <w:szCs w:val="20"/>
        </w:rPr>
        <w:t>Clear routes of escalation are available, including external review where applicable.</w:t>
      </w:r>
    </w:p>
    <w:p w14:paraId="3C579878" w14:textId="77777777" w:rsidR="00313589" w:rsidRPr="00182DDA" w:rsidRDefault="00313589" w:rsidP="00505B86">
      <w:pPr>
        <w:pStyle w:val="NoSpacing"/>
        <w:ind w:left="720"/>
        <w:rPr>
          <w:rFonts w:ascii="Verdana" w:hAnsi="Verdana"/>
          <w:bCs/>
          <w:sz w:val="20"/>
          <w:szCs w:val="20"/>
        </w:rPr>
      </w:pPr>
    </w:p>
    <w:p w14:paraId="210D0BFC" w14:textId="49524E54" w:rsidR="00182DDA" w:rsidRDefault="00182DDA" w:rsidP="00313589">
      <w:pPr>
        <w:pStyle w:val="NoSpacing"/>
        <w:numPr>
          <w:ilvl w:val="0"/>
          <w:numId w:val="29"/>
        </w:numPr>
        <w:rPr>
          <w:rFonts w:ascii="Verdana" w:hAnsi="Verdana"/>
          <w:b/>
          <w:sz w:val="20"/>
          <w:szCs w:val="20"/>
        </w:rPr>
      </w:pPr>
      <w:r w:rsidRPr="00313589">
        <w:rPr>
          <w:rFonts w:ascii="Verdana" w:hAnsi="Verdana"/>
          <w:b/>
          <w:sz w:val="20"/>
          <w:szCs w:val="20"/>
        </w:rPr>
        <w:t>Responsibilities</w:t>
      </w:r>
    </w:p>
    <w:p w14:paraId="7E20BF28" w14:textId="77777777" w:rsidR="00313589" w:rsidRPr="00313589" w:rsidRDefault="00313589" w:rsidP="00313589">
      <w:pPr>
        <w:pStyle w:val="NoSpacing"/>
        <w:ind w:left="1080"/>
        <w:rPr>
          <w:rFonts w:ascii="Verdana" w:hAnsi="Verdana"/>
          <w:b/>
          <w:sz w:val="20"/>
          <w:szCs w:val="20"/>
        </w:rPr>
      </w:pPr>
    </w:p>
    <w:p w14:paraId="0C9188D5"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Information and guidance on appeals may be provided by:</w:t>
      </w:r>
    </w:p>
    <w:p w14:paraId="3FB1F3CD" w14:textId="77777777" w:rsidR="00313589" w:rsidRPr="00182DDA" w:rsidRDefault="00313589" w:rsidP="00182DDA">
      <w:pPr>
        <w:pStyle w:val="NoSpacing"/>
        <w:ind w:left="720"/>
        <w:rPr>
          <w:rFonts w:ascii="Verdana" w:hAnsi="Verdana"/>
          <w:bCs/>
          <w:sz w:val="20"/>
          <w:szCs w:val="20"/>
        </w:rPr>
      </w:pPr>
    </w:p>
    <w:p w14:paraId="463B1564"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Subject Tutors / Assessors</w:t>
      </w:r>
    </w:p>
    <w:p w14:paraId="63B07824"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Skills Coaches / Personal Tutors</w:t>
      </w:r>
    </w:p>
    <w:p w14:paraId="03FDDC9E"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Subject Leads and Heads of Learning</w:t>
      </w:r>
    </w:p>
    <w:p w14:paraId="3D053D37"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Directors of Curriculum</w:t>
      </w:r>
    </w:p>
    <w:p w14:paraId="0D0A3A14"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Assistant Principals</w:t>
      </w:r>
    </w:p>
    <w:p w14:paraId="5C62D599"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Director of Quality and Higher Education</w:t>
      </w:r>
    </w:p>
    <w:p w14:paraId="56A94199" w14:textId="77777777" w:rsidR="00182DDA" w:rsidRPr="00182DDA" w:rsidRDefault="00182DDA" w:rsidP="00182DDA">
      <w:pPr>
        <w:pStyle w:val="NoSpacing"/>
        <w:numPr>
          <w:ilvl w:val="0"/>
          <w:numId w:val="20"/>
        </w:numPr>
        <w:rPr>
          <w:rFonts w:ascii="Verdana" w:hAnsi="Verdana"/>
          <w:bCs/>
          <w:sz w:val="20"/>
          <w:szCs w:val="20"/>
        </w:rPr>
      </w:pPr>
      <w:r w:rsidRPr="00182DDA">
        <w:rPr>
          <w:rFonts w:ascii="Verdana" w:hAnsi="Verdana"/>
          <w:bCs/>
          <w:sz w:val="20"/>
          <w:szCs w:val="20"/>
        </w:rPr>
        <w:t>Exams Office (for FE post-results services)</w:t>
      </w:r>
    </w:p>
    <w:p w14:paraId="36465D74"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The Head of Centre (Principal &amp; CEO) retains overall responsibility for compliance with JCQ requirements.</w:t>
      </w:r>
    </w:p>
    <w:p w14:paraId="22B4985B" w14:textId="77777777" w:rsidR="00313589" w:rsidRPr="00182DDA" w:rsidRDefault="00313589" w:rsidP="70F7F504">
      <w:pPr>
        <w:pStyle w:val="NoSpacing"/>
        <w:ind w:left="720"/>
        <w:rPr>
          <w:rFonts w:ascii="Verdana" w:hAnsi="Verdana"/>
          <w:sz w:val="20"/>
          <w:szCs w:val="20"/>
        </w:rPr>
      </w:pPr>
    </w:p>
    <w:p w14:paraId="447C00EF" w14:textId="6F00B69A" w:rsidR="00182DDA" w:rsidRPr="00313589" w:rsidRDefault="00773A54" w:rsidP="00313589">
      <w:pPr>
        <w:pStyle w:val="NoSpacing"/>
        <w:numPr>
          <w:ilvl w:val="0"/>
          <w:numId w:val="29"/>
        </w:numPr>
        <w:rPr>
          <w:rFonts w:ascii="Verdana" w:hAnsi="Verdana"/>
          <w:b/>
          <w:sz w:val="20"/>
          <w:szCs w:val="20"/>
        </w:rPr>
      </w:pPr>
      <w:r>
        <w:rPr>
          <w:rFonts w:ascii="Verdana" w:hAnsi="Verdana"/>
          <w:b/>
          <w:sz w:val="20"/>
          <w:szCs w:val="20"/>
        </w:rPr>
        <w:t xml:space="preserve">FE </w:t>
      </w:r>
      <w:r w:rsidR="00182DDA" w:rsidRPr="00313589">
        <w:rPr>
          <w:rFonts w:ascii="Verdana" w:hAnsi="Verdana"/>
          <w:b/>
          <w:sz w:val="20"/>
          <w:szCs w:val="20"/>
        </w:rPr>
        <w:t>Grounds for Appeal</w:t>
      </w:r>
    </w:p>
    <w:p w14:paraId="5B8D8C01" w14:textId="77777777" w:rsidR="00313589" w:rsidRPr="00182DDA" w:rsidRDefault="00313589" w:rsidP="00313589">
      <w:pPr>
        <w:pStyle w:val="NoSpacing"/>
        <w:ind w:left="1080"/>
        <w:rPr>
          <w:rFonts w:ascii="Verdana" w:hAnsi="Verdana"/>
          <w:bCs/>
          <w:sz w:val="20"/>
          <w:szCs w:val="20"/>
        </w:rPr>
      </w:pPr>
    </w:p>
    <w:p w14:paraId="643CA9D6"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Learners may appeal on one or more of the following grounds:</w:t>
      </w:r>
    </w:p>
    <w:p w14:paraId="6AE53860" w14:textId="77777777" w:rsidR="00505B86" w:rsidRPr="00182DDA" w:rsidRDefault="00505B86" w:rsidP="00182DDA">
      <w:pPr>
        <w:pStyle w:val="NoSpacing"/>
        <w:ind w:left="720"/>
        <w:rPr>
          <w:rFonts w:ascii="Verdana" w:hAnsi="Verdana"/>
          <w:bCs/>
          <w:sz w:val="20"/>
          <w:szCs w:val="20"/>
        </w:rPr>
      </w:pPr>
    </w:p>
    <w:p w14:paraId="064C6EDB"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The conduct of an assessment or examination;</w:t>
      </w:r>
    </w:p>
    <w:p w14:paraId="3D45818E"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The adequacy, range or appropriateness of assessment evidence considered;</w:t>
      </w:r>
    </w:p>
    <w:p w14:paraId="2E87EEB1"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The opportunity provided to demonstrate achievement;</w:t>
      </w:r>
    </w:p>
    <w:p w14:paraId="2FDCC86E"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The nature or level of guidance or feedback provided;</w:t>
      </w:r>
    </w:p>
    <w:p w14:paraId="4401EC6B"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The application of reasonable adjustments or special consideration;</w:t>
      </w:r>
    </w:p>
    <w:p w14:paraId="18D79127"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Procedural irregularity or administrative error;</w:t>
      </w:r>
    </w:p>
    <w:p w14:paraId="20E83533" w14:textId="77777777" w:rsidR="00182DDA" w:rsidRPr="00182DDA" w:rsidRDefault="00182DDA" w:rsidP="00182DDA">
      <w:pPr>
        <w:pStyle w:val="NoSpacing"/>
        <w:numPr>
          <w:ilvl w:val="0"/>
          <w:numId w:val="21"/>
        </w:numPr>
        <w:rPr>
          <w:rFonts w:ascii="Verdana" w:hAnsi="Verdana"/>
          <w:bCs/>
          <w:sz w:val="20"/>
          <w:szCs w:val="20"/>
        </w:rPr>
      </w:pPr>
      <w:r w:rsidRPr="00182DDA">
        <w:rPr>
          <w:rFonts w:ascii="Verdana" w:hAnsi="Verdana"/>
          <w:bCs/>
          <w:sz w:val="20"/>
          <w:szCs w:val="20"/>
        </w:rPr>
        <w:t>Failure to follow published assessment or academic regulations.</w:t>
      </w:r>
    </w:p>
    <w:p w14:paraId="074DA991" w14:textId="77777777" w:rsidR="00182DDA" w:rsidRPr="00182DDA" w:rsidRDefault="00182DDA" w:rsidP="70F7F504">
      <w:pPr>
        <w:pStyle w:val="NoSpacing"/>
        <w:ind w:left="720"/>
        <w:rPr>
          <w:rFonts w:ascii="Verdana" w:hAnsi="Verdana"/>
          <w:sz w:val="20"/>
          <w:szCs w:val="20"/>
        </w:rPr>
      </w:pPr>
      <w:r w:rsidRPr="70F7F504">
        <w:rPr>
          <w:rFonts w:ascii="Verdana" w:hAnsi="Verdana"/>
          <w:sz w:val="20"/>
          <w:szCs w:val="20"/>
        </w:rPr>
        <w:t>Appeals must not be based solely on disagreement with academic judgement where proper process has been followed.</w:t>
      </w:r>
    </w:p>
    <w:p w14:paraId="496ED074" w14:textId="790A1219" w:rsidR="00182DDA" w:rsidRPr="00182DDA" w:rsidRDefault="00182DDA" w:rsidP="00182DDA">
      <w:pPr>
        <w:pStyle w:val="NoSpacing"/>
        <w:ind w:left="720"/>
        <w:rPr>
          <w:rFonts w:ascii="Verdana" w:hAnsi="Verdana"/>
          <w:bCs/>
          <w:sz w:val="20"/>
          <w:szCs w:val="20"/>
        </w:rPr>
      </w:pPr>
    </w:p>
    <w:p w14:paraId="3B3FD57F" w14:textId="644ADF23" w:rsidR="00182DDA" w:rsidRPr="00313589" w:rsidRDefault="00182DDA" w:rsidP="00313589">
      <w:pPr>
        <w:pStyle w:val="NoSpacing"/>
        <w:numPr>
          <w:ilvl w:val="0"/>
          <w:numId w:val="29"/>
        </w:numPr>
        <w:rPr>
          <w:rFonts w:ascii="Verdana" w:hAnsi="Verdana"/>
          <w:b/>
          <w:sz w:val="20"/>
          <w:szCs w:val="20"/>
        </w:rPr>
      </w:pPr>
      <w:r w:rsidRPr="00313589">
        <w:rPr>
          <w:rFonts w:ascii="Verdana" w:hAnsi="Verdana"/>
          <w:b/>
          <w:sz w:val="20"/>
          <w:szCs w:val="20"/>
        </w:rPr>
        <w:t>FE Appeals – Assessment and Internal Verification</w:t>
      </w:r>
    </w:p>
    <w:p w14:paraId="50FBBB3C" w14:textId="77777777" w:rsidR="00313589" w:rsidRPr="00182DDA" w:rsidRDefault="00313589" w:rsidP="00313589">
      <w:pPr>
        <w:pStyle w:val="NoSpacing"/>
        <w:ind w:left="1080"/>
        <w:rPr>
          <w:rFonts w:ascii="Verdana" w:hAnsi="Verdana"/>
          <w:bCs/>
          <w:sz w:val="20"/>
          <w:szCs w:val="20"/>
        </w:rPr>
      </w:pPr>
    </w:p>
    <w:p w14:paraId="1AEE3D6F"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Stage 1: Informal Resolution</w:t>
      </w:r>
    </w:p>
    <w:p w14:paraId="6002FF99" w14:textId="77777777" w:rsidR="00313589" w:rsidRPr="00182DDA" w:rsidRDefault="00313589" w:rsidP="00182DDA">
      <w:pPr>
        <w:pStyle w:val="NoSpacing"/>
        <w:ind w:left="720"/>
        <w:rPr>
          <w:rFonts w:ascii="Verdana" w:hAnsi="Verdana"/>
          <w:bCs/>
          <w:sz w:val="20"/>
          <w:szCs w:val="20"/>
        </w:rPr>
      </w:pPr>
    </w:p>
    <w:p w14:paraId="40B78C10"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The learner should raise the concern with the assessor or tutor as soon as possible after receiving the assessment decision. The assessor will review the decision and provide:</w:t>
      </w:r>
    </w:p>
    <w:p w14:paraId="255F6811" w14:textId="77777777" w:rsidR="00313589" w:rsidRPr="00182DDA" w:rsidRDefault="00313589" w:rsidP="00182DDA">
      <w:pPr>
        <w:pStyle w:val="NoSpacing"/>
        <w:ind w:left="720"/>
        <w:rPr>
          <w:rFonts w:ascii="Verdana" w:hAnsi="Verdana"/>
          <w:bCs/>
          <w:sz w:val="20"/>
          <w:szCs w:val="20"/>
        </w:rPr>
      </w:pPr>
    </w:p>
    <w:p w14:paraId="5C851941" w14:textId="77777777" w:rsidR="00182DDA" w:rsidRPr="00182DDA" w:rsidRDefault="00182DDA" w:rsidP="00182DDA">
      <w:pPr>
        <w:pStyle w:val="NoSpacing"/>
        <w:numPr>
          <w:ilvl w:val="0"/>
          <w:numId w:val="22"/>
        </w:numPr>
        <w:rPr>
          <w:rFonts w:ascii="Verdana" w:hAnsi="Verdana"/>
          <w:bCs/>
          <w:sz w:val="20"/>
          <w:szCs w:val="20"/>
        </w:rPr>
      </w:pPr>
      <w:r w:rsidRPr="00182DDA">
        <w:rPr>
          <w:rFonts w:ascii="Verdana" w:hAnsi="Verdana"/>
          <w:bCs/>
          <w:sz w:val="20"/>
          <w:szCs w:val="20"/>
        </w:rPr>
        <w:t>A clear explanation of the outcome; and</w:t>
      </w:r>
    </w:p>
    <w:p w14:paraId="7926AB7A" w14:textId="77777777" w:rsidR="00182DDA" w:rsidRDefault="00182DDA" w:rsidP="00182DDA">
      <w:pPr>
        <w:pStyle w:val="NoSpacing"/>
        <w:numPr>
          <w:ilvl w:val="0"/>
          <w:numId w:val="22"/>
        </w:numPr>
        <w:rPr>
          <w:rFonts w:ascii="Verdana" w:hAnsi="Verdana"/>
          <w:bCs/>
          <w:sz w:val="20"/>
          <w:szCs w:val="20"/>
        </w:rPr>
      </w:pPr>
      <w:r w:rsidRPr="00182DDA">
        <w:rPr>
          <w:rFonts w:ascii="Verdana" w:hAnsi="Verdana"/>
          <w:bCs/>
          <w:sz w:val="20"/>
          <w:szCs w:val="20"/>
        </w:rPr>
        <w:t>Either confirmation or amendment of the original decision.</w:t>
      </w:r>
    </w:p>
    <w:p w14:paraId="13611BD8" w14:textId="77777777" w:rsidR="00313589" w:rsidRPr="00182DDA" w:rsidRDefault="00313589" w:rsidP="00313589">
      <w:pPr>
        <w:pStyle w:val="NoSpacing"/>
        <w:ind w:left="720"/>
        <w:rPr>
          <w:rFonts w:ascii="Verdana" w:hAnsi="Verdana"/>
          <w:bCs/>
          <w:sz w:val="20"/>
          <w:szCs w:val="20"/>
        </w:rPr>
      </w:pPr>
    </w:p>
    <w:p w14:paraId="5B8D517E"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If resolved, the appeal concludes at this stage.</w:t>
      </w:r>
    </w:p>
    <w:p w14:paraId="36DF05A0" w14:textId="77777777" w:rsidR="00313589" w:rsidRPr="00182DDA" w:rsidRDefault="00313589" w:rsidP="00182DDA">
      <w:pPr>
        <w:pStyle w:val="NoSpacing"/>
        <w:ind w:left="720"/>
        <w:rPr>
          <w:rFonts w:ascii="Verdana" w:hAnsi="Verdana"/>
          <w:bCs/>
          <w:sz w:val="20"/>
          <w:szCs w:val="20"/>
        </w:rPr>
      </w:pPr>
    </w:p>
    <w:p w14:paraId="577C3772"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Stage 2: Formal Review by Assessor</w:t>
      </w:r>
    </w:p>
    <w:p w14:paraId="61B6D72F" w14:textId="77777777" w:rsidR="00313589" w:rsidRPr="00182DDA" w:rsidRDefault="00313589" w:rsidP="00182DDA">
      <w:pPr>
        <w:pStyle w:val="NoSpacing"/>
        <w:ind w:left="720"/>
        <w:rPr>
          <w:rFonts w:ascii="Verdana" w:hAnsi="Verdana"/>
          <w:bCs/>
          <w:sz w:val="20"/>
          <w:szCs w:val="20"/>
        </w:rPr>
      </w:pPr>
    </w:p>
    <w:p w14:paraId="5368071A"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If unresolved, the learner must submit a written request for appeal within 5 working days. The assessor will provide a written response within 5 working days, together with the College Appeal Form.</w:t>
      </w:r>
    </w:p>
    <w:p w14:paraId="03A284A6" w14:textId="77777777" w:rsidR="00313589" w:rsidRPr="00182DDA" w:rsidRDefault="00313589" w:rsidP="00182DDA">
      <w:pPr>
        <w:pStyle w:val="NoSpacing"/>
        <w:ind w:left="720"/>
        <w:rPr>
          <w:rFonts w:ascii="Verdana" w:hAnsi="Verdana"/>
          <w:bCs/>
          <w:sz w:val="20"/>
          <w:szCs w:val="20"/>
        </w:rPr>
      </w:pPr>
    </w:p>
    <w:p w14:paraId="58E53F7E"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Stage 3: Review by Head of Learning</w:t>
      </w:r>
    </w:p>
    <w:p w14:paraId="5E6E8CCB" w14:textId="77777777" w:rsidR="00313589" w:rsidRPr="00182DDA" w:rsidRDefault="00313589" w:rsidP="00182DDA">
      <w:pPr>
        <w:pStyle w:val="NoSpacing"/>
        <w:ind w:left="720"/>
        <w:rPr>
          <w:rFonts w:ascii="Verdana" w:hAnsi="Verdana"/>
          <w:bCs/>
          <w:sz w:val="20"/>
          <w:szCs w:val="20"/>
        </w:rPr>
      </w:pPr>
    </w:p>
    <w:p w14:paraId="6DC1B6D0"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The completed Appeal Form must be submitted within 5 working days of the Stage 2 outcome. The Head of Learning will review:</w:t>
      </w:r>
    </w:p>
    <w:p w14:paraId="1BABCFE4" w14:textId="77777777" w:rsidR="00313589" w:rsidRPr="00182DDA" w:rsidRDefault="00313589" w:rsidP="00182DDA">
      <w:pPr>
        <w:pStyle w:val="NoSpacing"/>
        <w:ind w:left="720"/>
        <w:rPr>
          <w:rFonts w:ascii="Verdana" w:hAnsi="Verdana"/>
          <w:bCs/>
          <w:sz w:val="20"/>
          <w:szCs w:val="20"/>
        </w:rPr>
      </w:pPr>
    </w:p>
    <w:p w14:paraId="3B8F34EF" w14:textId="77777777" w:rsidR="00182DDA" w:rsidRPr="00182DDA" w:rsidRDefault="00182DDA" w:rsidP="00182DDA">
      <w:pPr>
        <w:pStyle w:val="NoSpacing"/>
        <w:numPr>
          <w:ilvl w:val="0"/>
          <w:numId w:val="23"/>
        </w:numPr>
        <w:rPr>
          <w:rFonts w:ascii="Verdana" w:hAnsi="Verdana"/>
          <w:bCs/>
          <w:sz w:val="20"/>
          <w:szCs w:val="20"/>
        </w:rPr>
      </w:pPr>
      <w:r w:rsidRPr="00182DDA">
        <w:rPr>
          <w:rFonts w:ascii="Verdana" w:hAnsi="Verdana"/>
          <w:bCs/>
          <w:sz w:val="20"/>
          <w:szCs w:val="20"/>
        </w:rPr>
        <w:t>The learner’s assessed work;</w:t>
      </w:r>
    </w:p>
    <w:p w14:paraId="7FEE99E6" w14:textId="77777777" w:rsidR="00182DDA" w:rsidRPr="00182DDA" w:rsidRDefault="00182DDA" w:rsidP="00182DDA">
      <w:pPr>
        <w:pStyle w:val="NoSpacing"/>
        <w:numPr>
          <w:ilvl w:val="0"/>
          <w:numId w:val="23"/>
        </w:numPr>
        <w:rPr>
          <w:rFonts w:ascii="Verdana" w:hAnsi="Verdana"/>
          <w:bCs/>
          <w:sz w:val="20"/>
          <w:szCs w:val="20"/>
        </w:rPr>
      </w:pPr>
      <w:r w:rsidRPr="00182DDA">
        <w:rPr>
          <w:rFonts w:ascii="Verdana" w:hAnsi="Verdana"/>
          <w:bCs/>
          <w:sz w:val="20"/>
          <w:szCs w:val="20"/>
        </w:rPr>
        <w:t>The assessor’s rationale;</w:t>
      </w:r>
    </w:p>
    <w:p w14:paraId="7F930E07" w14:textId="77777777" w:rsidR="00182DDA" w:rsidRPr="00182DDA" w:rsidRDefault="00182DDA" w:rsidP="00182DDA">
      <w:pPr>
        <w:pStyle w:val="NoSpacing"/>
        <w:numPr>
          <w:ilvl w:val="0"/>
          <w:numId w:val="23"/>
        </w:numPr>
        <w:rPr>
          <w:rFonts w:ascii="Verdana" w:hAnsi="Verdana"/>
          <w:bCs/>
          <w:sz w:val="20"/>
          <w:szCs w:val="20"/>
        </w:rPr>
      </w:pPr>
      <w:r w:rsidRPr="00182DDA">
        <w:rPr>
          <w:rFonts w:ascii="Verdana" w:hAnsi="Verdana"/>
          <w:bCs/>
          <w:sz w:val="20"/>
          <w:szCs w:val="20"/>
        </w:rPr>
        <w:t>Input from an alternative assessor where appropriate;</w:t>
      </w:r>
    </w:p>
    <w:p w14:paraId="478E1DF3" w14:textId="77777777" w:rsidR="00182DDA" w:rsidRDefault="00182DDA" w:rsidP="00182DDA">
      <w:pPr>
        <w:pStyle w:val="NoSpacing"/>
        <w:numPr>
          <w:ilvl w:val="0"/>
          <w:numId w:val="23"/>
        </w:numPr>
        <w:rPr>
          <w:rFonts w:ascii="Verdana" w:hAnsi="Verdana"/>
          <w:bCs/>
          <w:sz w:val="20"/>
          <w:szCs w:val="20"/>
        </w:rPr>
      </w:pPr>
      <w:r w:rsidRPr="00182DDA">
        <w:rPr>
          <w:rFonts w:ascii="Verdana" w:hAnsi="Verdana"/>
          <w:bCs/>
          <w:sz w:val="20"/>
          <w:szCs w:val="20"/>
        </w:rPr>
        <w:t>The learner’s representations.</w:t>
      </w:r>
    </w:p>
    <w:p w14:paraId="7618C8FC" w14:textId="77777777" w:rsidR="00313589" w:rsidRPr="00182DDA" w:rsidRDefault="00313589" w:rsidP="00313589">
      <w:pPr>
        <w:pStyle w:val="NoSpacing"/>
        <w:ind w:left="720"/>
        <w:rPr>
          <w:rFonts w:ascii="Verdana" w:hAnsi="Verdana"/>
          <w:bCs/>
          <w:sz w:val="20"/>
          <w:szCs w:val="20"/>
        </w:rPr>
      </w:pPr>
    </w:p>
    <w:p w14:paraId="321FD369"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A written outcome will be issued within 10 working days.</w:t>
      </w:r>
    </w:p>
    <w:p w14:paraId="3F3F9DD0" w14:textId="77777777" w:rsidR="00313589" w:rsidRPr="00182DDA" w:rsidRDefault="00313589" w:rsidP="00182DDA">
      <w:pPr>
        <w:pStyle w:val="NoSpacing"/>
        <w:ind w:left="720"/>
        <w:rPr>
          <w:rFonts w:ascii="Verdana" w:hAnsi="Verdana"/>
          <w:bCs/>
          <w:sz w:val="20"/>
          <w:szCs w:val="20"/>
        </w:rPr>
      </w:pPr>
    </w:p>
    <w:p w14:paraId="09FE3EB6"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Stage 4: Appeals Panel</w:t>
      </w:r>
    </w:p>
    <w:p w14:paraId="44B3829A" w14:textId="77777777" w:rsidR="00313589" w:rsidRPr="00182DDA" w:rsidRDefault="00313589" w:rsidP="00182DDA">
      <w:pPr>
        <w:pStyle w:val="NoSpacing"/>
        <w:ind w:left="720"/>
        <w:rPr>
          <w:rFonts w:ascii="Verdana" w:hAnsi="Verdana"/>
          <w:bCs/>
          <w:sz w:val="20"/>
          <w:szCs w:val="20"/>
        </w:rPr>
      </w:pPr>
    </w:p>
    <w:p w14:paraId="79B87E3E"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Where the learner remains dissatisfied, an Appeals Panel may be convened. The panel will normally include:</w:t>
      </w:r>
    </w:p>
    <w:p w14:paraId="3FB91991" w14:textId="77777777" w:rsidR="00313589" w:rsidRPr="00182DDA" w:rsidRDefault="00313589" w:rsidP="00182DDA">
      <w:pPr>
        <w:pStyle w:val="NoSpacing"/>
        <w:ind w:left="720"/>
        <w:rPr>
          <w:rFonts w:ascii="Verdana" w:hAnsi="Verdana"/>
          <w:bCs/>
          <w:sz w:val="20"/>
          <w:szCs w:val="20"/>
        </w:rPr>
      </w:pPr>
    </w:p>
    <w:p w14:paraId="35CFFE38" w14:textId="77777777" w:rsidR="00182DDA" w:rsidRPr="00182DDA" w:rsidRDefault="00182DDA" w:rsidP="00182DDA">
      <w:pPr>
        <w:pStyle w:val="NoSpacing"/>
        <w:numPr>
          <w:ilvl w:val="0"/>
          <w:numId w:val="24"/>
        </w:numPr>
        <w:rPr>
          <w:rFonts w:ascii="Verdana" w:hAnsi="Verdana"/>
          <w:bCs/>
          <w:sz w:val="20"/>
          <w:szCs w:val="20"/>
        </w:rPr>
      </w:pPr>
      <w:r w:rsidRPr="00182DDA">
        <w:rPr>
          <w:rFonts w:ascii="Verdana" w:hAnsi="Verdana"/>
          <w:bCs/>
          <w:sz w:val="20"/>
          <w:szCs w:val="20"/>
        </w:rPr>
        <w:t>Assistant Principal or Director of Curriculum (Chair)</w:t>
      </w:r>
    </w:p>
    <w:p w14:paraId="07588130" w14:textId="77777777" w:rsidR="00182DDA" w:rsidRPr="00182DDA" w:rsidRDefault="00182DDA" w:rsidP="00182DDA">
      <w:pPr>
        <w:pStyle w:val="NoSpacing"/>
        <w:numPr>
          <w:ilvl w:val="0"/>
          <w:numId w:val="24"/>
        </w:numPr>
        <w:rPr>
          <w:rFonts w:ascii="Verdana" w:hAnsi="Verdana"/>
          <w:bCs/>
          <w:sz w:val="20"/>
          <w:szCs w:val="20"/>
        </w:rPr>
      </w:pPr>
      <w:r w:rsidRPr="00182DDA">
        <w:rPr>
          <w:rFonts w:ascii="Verdana" w:hAnsi="Verdana"/>
          <w:bCs/>
          <w:sz w:val="20"/>
          <w:szCs w:val="20"/>
        </w:rPr>
        <w:t>Director of Quality and Higher Education</w:t>
      </w:r>
    </w:p>
    <w:p w14:paraId="6960D5EB" w14:textId="77777777" w:rsidR="00182DDA" w:rsidRPr="00182DDA" w:rsidRDefault="00182DDA" w:rsidP="00182DDA">
      <w:pPr>
        <w:pStyle w:val="NoSpacing"/>
        <w:numPr>
          <w:ilvl w:val="0"/>
          <w:numId w:val="24"/>
        </w:numPr>
        <w:rPr>
          <w:rFonts w:ascii="Verdana" w:hAnsi="Verdana"/>
          <w:bCs/>
          <w:sz w:val="20"/>
          <w:szCs w:val="20"/>
        </w:rPr>
      </w:pPr>
      <w:r w:rsidRPr="00182DDA">
        <w:rPr>
          <w:rFonts w:ascii="Verdana" w:hAnsi="Verdana"/>
          <w:bCs/>
          <w:sz w:val="20"/>
          <w:szCs w:val="20"/>
        </w:rPr>
        <w:t>Head of Learning</w:t>
      </w:r>
    </w:p>
    <w:p w14:paraId="42FB7D26" w14:textId="77777777" w:rsidR="00182DDA" w:rsidRDefault="00182DDA" w:rsidP="00182DDA">
      <w:pPr>
        <w:pStyle w:val="NoSpacing"/>
        <w:numPr>
          <w:ilvl w:val="0"/>
          <w:numId w:val="24"/>
        </w:numPr>
        <w:rPr>
          <w:rFonts w:ascii="Verdana" w:hAnsi="Verdana"/>
          <w:bCs/>
          <w:sz w:val="20"/>
          <w:szCs w:val="20"/>
        </w:rPr>
      </w:pPr>
      <w:r w:rsidRPr="00182DDA">
        <w:rPr>
          <w:rFonts w:ascii="Verdana" w:hAnsi="Verdana"/>
          <w:bCs/>
          <w:sz w:val="20"/>
          <w:szCs w:val="20"/>
        </w:rPr>
        <w:t>Original assessor (non-voting)</w:t>
      </w:r>
    </w:p>
    <w:p w14:paraId="6E4FABAF" w14:textId="77777777" w:rsidR="00313589" w:rsidRPr="00182DDA" w:rsidRDefault="00313589" w:rsidP="00182DDA">
      <w:pPr>
        <w:pStyle w:val="NoSpacing"/>
        <w:numPr>
          <w:ilvl w:val="0"/>
          <w:numId w:val="24"/>
        </w:numPr>
        <w:rPr>
          <w:rFonts w:ascii="Verdana" w:hAnsi="Verdana"/>
          <w:bCs/>
          <w:sz w:val="20"/>
          <w:szCs w:val="20"/>
        </w:rPr>
      </w:pPr>
    </w:p>
    <w:p w14:paraId="44FD0068" w14:textId="77777777"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The learner will receive a written outcome within 5 working days of the panel meeting.</w:t>
      </w:r>
    </w:p>
    <w:p w14:paraId="39057B4F"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lastRenderedPageBreak/>
        <w:t>External Awarding Body Appeal (FE)</w:t>
      </w:r>
    </w:p>
    <w:p w14:paraId="4CBE06B3" w14:textId="77777777" w:rsidR="00313589" w:rsidRPr="00182DDA" w:rsidRDefault="00313589" w:rsidP="00182DDA">
      <w:pPr>
        <w:pStyle w:val="NoSpacing"/>
        <w:ind w:left="720"/>
        <w:rPr>
          <w:rFonts w:ascii="Verdana" w:hAnsi="Verdana"/>
          <w:bCs/>
          <w:sz w:val="20"/>
          <w:szCs w:val="20"/>
        </w:rPr>
      </w:pPr>
    </w:p>
    <w:p w14:paraId="22586443" w14:textId="77777777"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Where permitted, learners may appeal to the awarding body, in line with awarding body regulations, after the College’s internal process has concluded.</w:t>
      </w:r>
    </w:p>
    <w:p w14:paraId="340B1AA8" w14:textId="3113D733" w:rsidR="00182DDA" w:rsidRPr="00182DDA" w:rsidRDefault="00182DDA" w:rsidP="00182DDA">
      <w:pPr>
        <w:pStyle w:val="NoSpacing"/>
        <w:ind w:left="720"/>
        <w:rPr>
          <w:rFonts w:ascii="Verdana" w:hAnsi="Verdana"/>
          <w:bCs/>
          <w:sz w:val="20"/>
          <w:szCs w:val="20"/>
        </w:rPr>
      </w:pPr>
    </w:p>
    <w:p w14:paraId="290A8157" w14:textId="6201E145" w:rsidR="00182DDA" w:rsidRPr="00E942A5" w:rsidRDefault="00182DDA" w:rsidP="00313589">
      <w:pPr>
        <w:pStyle w:val="NoSpacing"/>
        <w:numPr>
          <w:ilvl w:val="0"/>
          <w:numId w:val="29"/>
        </w:numPr>
        <w:rPr>
          <w:rFonts w:ascii="Verdana" w:hAnsi="Verdana"/>
          <w:b/>
          <w:sz w:val="20"/>
          <w:szCs w:val="20"/>
        </w:rPr>
      </w:pPr>
      <w:r w:rsidRPr="00E942A5">
        <w:rPr>
          <w:rFonts w:ascii="Verdana" w:hAnsi="Verdana"/>
          <w:b/>
          <w:sz w:val="20"/>
          <w:szCs w:val="20"/>
        </w:rPr>
        <w:t>FE Post-Results Services (JCQ)</w:t>
      </w:r>
    </w:p>
    <w:p w14:paraId="0EE0D2C1" w14:textId="77777777" w:rsidR="00313589" w:rsidRPr="00182DDA" w:rsidRDefault="00313589" w:rsidP="00313589">
      <w:pPr>
        <w:pStyle w:val="NoSpacing"/>
        <w:ind w:left="1080"/>
        <w:rPr>
          <w:rFonts w:ascii="Verdana" w:hAnsi="Verdana"/>
          <w:bCs/>
          <w:sz w:val="20"/>
          <w:szCs w:val="20"/>
        </w:rPr>
      </w:pPr>
    </w:p>
    <w:p w14:paraId="1310A613"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The College complies fully with JCQ guidance on post-results services, including:</w:t>
      </w:r>
    </w:p>
    <w:p w14:paraId="178D928C" w14:textId="77777777" w:rsidR="00313589" w:rsidRPr="00182DDA" w:rsidRDefault="00313589" w:rsidP="00182DDA">
      <w:pPr>
        <w:pStyle w:val="NoSpacing"/>
        <w:ind w:left="720"/>
        <w:rPr>
          <w:rFonts w:ascii="Verdana" w:hAnsi="Verdana"/>
          <w:bCs/>
          <w:sz w:val="20"/>
          <w:szCs w:val="20"/>
        </w:rPr>
      </w:pPr>
    </w:p>
    <w:p w14:paraId="00BFD49D" w14:textId="77777777" w:rsidR="00182DDA" w:rsidRPr="00182DDA" w:rsidRDefault="00182DDA" w:rsidP="00182DDA">
      <w:pPr>
        <w:pStyle w:val="NoSpacing"/>
        <w:numPr>
          <w:ilvl w:val="0"/>
          <w:numId w:val="25"/>
        </w:numPr>
        <w:rPr>
          <w:rFonts w:ascii="Verdana" w:hAnsi="Verdana"/>
          <w:bCs/>
          <w:sz w:val="20"/>
          <w:szCs w:val="20"/>
        </w:rPr>
      </w:pPr>
      <w:r w:rsidRPr="00182DDA">
        <w:rPr>
          <w:rFonts w:ascii="Verdana" w:hAnsi="Verdana"/>
          <w:bCs/>
          <w:sz w:val="20"/>
          <w:szCs w:val="20"/>
        </w:rPr>
        <w:t>Clerical re-checks;</w:t>
      </w:r>
    </w:p>
    <w:p w14:paraId="5A4C36DE" w14:textId="77777777" w:rsidR="00182DDA" w:rsidRPr="00182DDA" w:rsidRDefault="00182DDA" w:rsidP="00182DDA">
      <w:pPr>
        <w:pStyle w:val="NoSpacing"/>
        <w:numPr>
          <w:ilvl w:val="0"/>
          <w:numId w:val="25"/>
        </w:numPr>
        <w:rPr>
          <w:rFonts w:ascii="Verdana" w:hAnsi="Verdana"/>
          <w:bCs/>
          <w:sz w:val="20"/>
          <w:szCs w:val="20"/>
        </w:rPr>
      </w:pPr>
      <w:r w:rsidRPr="00182DDA">
        <w:rPr>
          <w:rFonts w:ascii="Verdana" w:hAnsi="Verdana"/>
          <w:bCs/>
          <w:sz w:val="20"/>
          <w:szCs w:val="20"/>
        </w:rPr>
        <w:t>Reviews of marking;</w:t>
      </w:r>
    </w:p>
    <w:p w14:paraId="38E1C674" w14:textId="77777777" w:rsidR="00182DDA" w:rsidRPr="00182DDA" w:rsidRDefault="00182DDA" w:rsidP="00182DDA">
      <w:pPr>
        <w:pStyle w:val="NoSpacing"/>
        <w:numPr>
          <w:ilvl w:val="0"/>
          <w:numId w:val="25"/>
        </w:numPr>
        <w:rPr>
          <w:rFonts w:ascii="Verdana" w:hAnsi="Verdana"/>
          <w:bCs/>
          <w:sz w:val="20"/>
          <w:szCs w:val="20"/>
        </w:rPr>
      </w:pPr>
      <w:r w:rsidRPr="00182DDA">
        <w:rPr>
          <w:rFonts w:ascii="Verdana" w:hAnsi="Verdana"/>
          <w:bCs/>
          <w:sz w:val="20"/>
          <w:szCs w:val="20"/>
        </w:rPr>
        <w:t>Reviews of moderation;</w:t>
      </w:r>
    </w:p>
    <w:p w14:paraId="48873358" w14:textId="77777777" w:rsidR="00182DDA" w:rsidRPr="00182DDA" w:rsidRDefault="00182DDA" w:rsidP="00182DDA">
      <w:pPr>
        <w:pStyle w:val="NoSpacing"/>
        <w:numPr>
          <w:ilvl w:val="0"/>
          <w:numId w:val="25"/>
        </w:numPr>
        <w:rPr>
          <w:rFonts w:ascii="Verdana" w:hAnsi="Verdana"/>
          <w:bCs/>
          <w:sz w:val="20"/>
          <w:szCs w:val="20"/>
        </w:rPr>
      </w:pPr>
      <w:r w:rsidRPr="00182DDA">
        <w:rPr>
          <w:rFonts w:ascii="Verdana" w:hAnsi="Verdana"/>
          <w:bCs/>
          <w:sz w:val="20"/>
          <w:szCs w:val="20"/>
        </w:rPr>
        <w:t>Group re-marks.</w:t>
      </w:r>
    </w:p>
    <w:p w14:paraId="05C9A3B2" w14:textId="77777777"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Key requirements include:</w:t>
      </w:r>
    </w:p>
    <w:p w14:paraId="23998648" w14:textId="77777777" w:rsidR="00182DDA" w:rsidRPr="00182DDA" w:rsidRDefault="00182DDA" w:rsidP="00182DDA">
      <w:pPr>
        <w:pStyle w:val="NoSpacing"/>
        <w:numPr>
          <w:ilvl w:val="0"/>
          <w:numId w:val="26"/>
        </w:numPr>
        <w:rPr>
          <w:rFonts w:ascii="Verdana" w:hAnsi="Verdana"/>
          <w:bCs/>
          <w:sz w:val="20"/>
          <w:szCs w:val="20"/>
        </w:rPr>
      </w:pPr>
      <w:r w:rsidRPr="00182DDA">
        <w:rPr>
          <w:rFonts w:ascii="Verdana" w:hAnsi="Verdana"/>
          <w:bCs/>
          <w:sz w:val="20"/>
          <w:szCs w:val="20"/>
        </w:rPr>
        <w:t>Informed written learner consent (email acceptable) following the publication of results;</w:t>
      </w:r>
    </w:p>
    <w:p w14:paraId="53C14ED9" w14:textId="77777777" w:rsidR="00182DDA" w:rsidRPr="00182DDA" w:rsidRDefault="00182DDA" w:rsidP="00182DDA">
      <w:pPr>
        <w:pStyle w:val="NoSpacing"/>
        <w:numPr>
          <w:ilvl w:val="0"/>
          <w:numId w:val="26"/>
        </w:numPr>
        <w:rPr>
          <w:rFonts w:ascii="Verdana" w:hAnsi="Verdana"/>
          <w:bCs/>
          <w:sz w:val="20"/>
          <w:szCs w:val="20"/>
        </w:rPr>
      </w:pPr>
      <w:r w:rsidRPr="00182DDA">
        <w:rPr>
          <w:rFonts w:ascii="Verdana" w:hAnsi="Verdana"/>
          <w:bCs/>
          <w:sz w:val="20"/>
          <w:szCs w:val="20"/>
        </w:rPr>
        <w:t>Investigation by the Exams Officer and Head of Centre before submission;</w:t>
      </w:r>
    </w:p>
    <w:p w14:paraId="39FABABE" w14:textId="77777777" w:rsidR="00182DDA" w:rsidRDefault="00182DDA" w:rsidP="00182DDA">
      <w:pPr>
        <w:pStyle w:val="NoSpacing"/>
        <w:numPr>
          <w:ilvl w:val="0"/>
          <w:numId w:val="26"/>
        </w:numPr>
        <w:rPr>
          <w:rFonts w:ascii="Verdana" w:hAnsi="Verdana"/>
          <w:bCs/>
          <w:sz w:val="20"/>
          <w:szCs w:val="20"/>
        </w:rPr>
      </w:pPr>
      <w:r w:rsidRPr="00182DDA">
        <w:rPr>
          <w:rFonts w:ascii="Verdana" w:hAnsi="Verdana"/>
          <w:bCs/>
          <w:sz w:val="20"/>
          <w:szCs w:val="20"/>
        </w:rPr>
        <w:t>The learner’s right to submit an internal appeal where the College declines to support an enquiry.</w:t>
      </w:r>
    </w:p>
    <w:p w14:paraId="6B967950" w14:textId="77777777" w:rsidR="00313589" w:rsidRPr="00182DDA" w:rsidRDefault="00313589" w:rsidP="00313589">
      <w:pPr>
        <w:pStyle w:val="NoSpacing"/>
        <w:ind w:left="720"/>
        <w:rPr>
          <w:rFonts w:ascii="Verdana" w:hAnsi="Verdana"/>
          <w:bCs/>
          <w:sz w:val="20"/>
          <w:szCs w:val="20"/>
        </w:rPr>
      </w:pPr>
    </w:p>
    <w:p w14:paraId="62DAD1AE"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Learners may fund an enquiry independently where the College does not support it. Appeals against centre decisions must be submitted in writing and will be concluded before JCQ deadlines.</w:t>
      </w:r>
    </w:p>
    <w:p w14:paraId="7B2E062E" w14:textId="77777777" w:rsidR="00313589" w:rsidRPr="00182DDA" w:rsidRDefault="00313589" w:rsidP="00182DDA">
      <w:pPr>
        <w:pStyle w:val="NoSpacing"/>
        <w:ind w:left="720"/>
        <w:rPr>
          <w:rFonts w:ascii="Verdana" w:hAnsi="Verdana"/>
          <w:bCs/>
          <w:sz w:val="20"/>
          <w:szCs w:val="20"/>
        </w:rPr>
      </w:pPr>
    </w:p>
    <w:p w14:paraId="7FAAE510" w14:textId="77777777"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Learners and parents/carers may not contact awarding bodies directly.</w:t>
      </w:r>
    </w:p>
    <w:p w14:paraId="5A228362" w14:textId="2FB01324" w:rsidR="00182DDA" w:rsidRPr="00182DDA" w:rsidRDefault="00182DDA" w:rsidP="00182DDA">
      <w:pPr>
        <w:pStyle w:val="NoSpacing"/>
        <w:ind w:left="720"/>
        <w:rPr>
          <w:rFonts w:ascii="Verdana" w:hAnsi="Verdana"/>
          <w:bCs/>
          <w:sz w:val="20"/>
          <w:szCs w:val="20"/>
        </w:rPr>
      </w:pPr>
    </w:p>
    <w:p w14:paraId="79172815" w14:textId="48B42E8F" w:rsidR="00182DDA" w:rsidRDefault="00182DDA" w:rsidP="00313589">
      <w:pPr>
        <w:pStyle w:val="NoSpacing"/>
        <w:numPr>
          <w:ilvl w:val="0"/>
          <w:numId w:val="29"/>
        </w:numPr>
        <w:rPr>
          <w:rFonts w:ascii="Verdana" w:hAnsi="Verdana"/>
          <w:b/>
          <w:sz w:val="20"/>
          <w:szCs w:val="20"/>
        </w:rPr>
      </w:pPr>
      <w:r w:rsidRPr="00313589">
        <w:rPr>
          <w:rFonts w:ascii="Verdana" w:hAnsi="Verdana"/>
          <w:b/>
          <w:sz w:val="20"/>
          <w:szCs w:val="20"/>
        </w:rPr>
        <w:t>HE Academic Appeals (Level 4 and Above)</w:t>
      </w:r>
    </w:p>
    <w:p w14:paraId="3E792604" w14:textId="77777777" w:rsidR="00313589" w:rsidRPr="00313589" w:rsidRDefault="00313589" w:rsidP="00313589">
      <w:pPr>
        <w:pStyle w:val="NoSpacing"/>
        <w:ind w:left="1080"/>
        <w:rPr>
          <w:rFonts w:ascii="Verdana" w:hAnsi="Verdana"/>
          <w:b/>
          <w:sz w:val="20"/>
          <w:szCs w:val="20"/>
        </w:rPr>
      </w:pPr>
    </w:p>
    <w:p w14:paraId="08699389"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Internal Academic Appeals</w:t>
      </w:r>
    </w:p>
    <w:p w14:paraId="7CC1C717" w14:textId="77777777" w:rsidR="00313589" w:rsidRPr="00182DDA" w:rsidRDefault="00313589" w:rsidP="00182DDA">
      <w:pPr>
        <w:pStyle w:val="NoSpacing"/>
        <w:ind w:left="720"/>
        <w:rPr>
          <w:rFonts w:ascii="Verdana" w:hAnsi="Verdana"/>
          <w:bCs/>
          <w:sz w:val="20"/>
          <w:szCs w:val="20"/>
        </w:rPr>
      </w:pPr>
    </w:p>
    <w:p w14:paraId="554DA371"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Learners on HE programmes may submit an academic appeal where they believe:</w:t>
      </w:r>
    </w:p>
    <w:p w14:paraId="5F9077D4" w14:textId="77777777" w:rsidR="00313589" w:rsidRPr="00182DDA" w:rsidRDefault="00313589" w:rsidP="00182DDA">
      <w:pPr>
        <w:pStyle w:val="NoSpacing"/>
        <w:ind w:left="720"/>
        <w:rPr>
          <w:rFonts w:ascii="Verdana" w:hAnsi="Verdana"/>
          <w:bCs/>
          <w:sz w:val="20"/>
          <w:szCs w:val="20"/>
        </w:rPr>
      </w:pPr>
    </w:p>
    <w:p w14:paraId="1E841A7E" w14:textId="77777777" w:rsidR="00182DDA" w:rsidRPr="00182DDA" w:rsidRDefault="00182DDA" w:rsidP="00182DDA">
      <w:pPr>
        <w:pStyle w:val="NoSpacing"/>
        <w:numPr>
          <w:ilvl w:val="0"/>
          <w:numId w:val="27"/>
        </w:numPr>
        <w:rPr>
          <w:rFonts w:ascii="Verdana" w:hAnsi="Verdana"/>
          <w:bCs/>
          <w:sz w:val="20"/>
          <w:szCs w:val="20"/>
        </w:rPr>
      </w:pPr>
      <w:r w:rsidRPr="00182DDA">
        <w:rPr>
          <w:rFonts w:ascii="Verdana" w:hAnsi="Verdana"/>
          <w:bCs/>
          <w:sz w:val="20"/>
          <w:szCs w:val="20"/>
        </w:rPr>
        <w:t>There has been a procedural irregularity;</w:t>
      </w:r>
    </w:p>
    <w:p w14:paraId="4CF91197" w14:textId="77777777" w:rsidR="00182DDA" w:rsidRPr="00182DDA" w:rsidRDefault="00182DDA" w:rsidP="00182DDA">
      <w:pPr>
        <w:pStyle w:val="NoSpacing"/>
        <w:numPr>
          <w:ilvl w:val="0"/>
          <w:numId w:val="27"/>
        </w:numPr>
        <w:rPr>
          <w:rFonts w:ascii="Verdana" w:hAnsi="Verdana"/>
          <w:bCs/>
          <w:sz w:val="20"/>
          <w:szCs w:val="20"/>
        </w:rPr>
      </w:pPr>
      <w:r w:rsidRPr="00182DDA">
        <w:rPr>
          <w:rFonts w:ascii="Verdana" w:hAnsi="Verdana"/>
          <w:bCs/>
          <w:sz w:val="20"/>
          <w:szCs w:val="20"/>
        </w:rPr>
        <w:t>An error in the application of regulations;</w:t>
      </w:r>
    </w:p>
    <w:p w14:paraId="0A24A214" w14:textId="77777777" w:rsidR="00182DDA" w:rsidRPr="00182DDA" w:rsidRDefault="00182DDA" w:rsidP="00182DDA">
      <w:pPr>
        <w:pStyle w:val="NoSpacing"/>
        <w:numPr>
          <w:ilvl w:val="0"/>
          <w:numId w:val="27"/>
        </w:numPr>
        <w:rPr>
          <w:rFonts w:ascii="Verdana" w:hAnsi="Verdana"/>
          <w:bCs/>
          <w:sz w:val="20"/>
          <w:szCs w:val="20"/>
        </w:rPr>
      </w:pPr>
      <w:r w:rsidRPr="00182DDA">
        <w:rPr>
          <w:rFonts w:ascii="Verdana" w:hAnsi="Verdana"/>
          <w:bCs/>
          <w:sz w:val="20"/>
          <w:szCs w:val="20"/>
        </w:rPr>
        <w:t>Relevant mitigating circumstances were not properly considered.</w:t>
      </w:r>
    </w:p>
    <w:p w14:paraId="470041DC" w14:textId="77777777" w:rsidR="00277CEB" w:rsidRDefault="00277CEB" w:rsidP="00182DDA">
      <w:pPr>
        <w:pStyle w:val="NoSpacing"/>
        <w:ind w:left="720"/>
        <w:rPr>
          <w:rFonts w:ascii="Verdana" w:hAnsi="Verdana"/>
          <w:bCs/>
          <w:sz w:val="20"/>
          <w:szCs w:val="20"/>
        </w:rPr>
      </w:pPr>
    </w:p>
    <w:p w14:paraId="3A6A9309" w14:textId="4E379FF4"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Appeals relating to academic judgement alone will not be considered.</w:t>
      </w:r>
    </w:p>
    <w:p w14:paraId="2FE45AE2" w14:textId="77777777" w:rsidR="00277CEB" w:rsidRDefault="00277CEB" w:rsidP="00182DDA">
      <w:pPr>
        <w:pStyle w:val="NoSpacing"/>
        <w:ind w:left="720"/>
        <w:rPr>
          <w:rFonts w:ascii="Verdana" w:hAnsi="Verdana"/>
          <w:bCs/>
          <w:sz w:val="20"/>
          <w:szCs w:val="20"/>
        </w:rPr>
      </w:pPr>
    </w:p>
    <w:p w14:paraId="25979BD5" w14:textId="5DE08B03" w:rsidR="00182DDA" w:rsidRDefault="00182DDA" w:rsidP="70F7F504">
      <w:pPr>
        <w:pStyle w:val="NoSpacing"/>
        <w:ind w:left="720"/>
        <w:rPr>
          <w:rFonts w:ascii="Verdana" w:hAnsi="Verdana"/>
          <w:sz w:val="20"/>
          <w:szCs w:val="20"/>
        </w:rPr>
      </w:pPr>
      <w:r w:rsidRPr="70F7F504">
        <w:rPr>
          <w:rFonts w:ascii="Verdana" w:hAnsi="Verdana"/>
          <w:sz w:val="20"/>
          <w:szCs w:val="20"/>
        </w:rPr>
        <w:t>The internal stages are conducted in accordance with:</w:t>
      </w:r>
    </w:p>
    <w:p w14:paraId="40DF366C" w14:textId="77777777" w:rsidR="00277CEB" w:rsidRPr="00182DDA" w:rsidRDefault="00277CEB" w:rsidP="00182DDA">
      <w:pPr>
        <w:pStyle w:val="NoSpacing"/>
        <w:ind w:left="720"/>
        <w:rPr>
          <w:rFonts w:ascii="Verdana" w:hAnsi="Verdana"/>
          <w:bCs/>
          <w:sz w:val="20"/>
          <w:szCs w:val="20"/>
        </w:rPr>
      </w:pPr>
    </w:p>
    <w:p w14:paraId="444212DF" w14:textId="77777777" w:rsidR="00182DDA" w:rsidRPr="00182DDA" w:rsidRDefault="00182DDA" w:rsidP="00182DDA">
      <w:pPr>
        <w:pStyle w:val="NoSpacing"/>
        <w:numPr>
          <w:ilvl w:val="0"/>
          <w:numId w:val="28"/>
        </w:numPr>
        <w:rPr>
          <w:rFonts w:ascii="Verdana" w:hAnsi="Verdana"/>
          <w:bCs/>
          <w:sz w:val="20"/>
          <w:szCs w:val="20"/>
        </w:rPr>
      </w:pPr>
      <w:r w:rsidRPr="00182DDA">
        <w:rPr>
          <w:rFonts w:ascii="Verdana" w:hAnsi="Verdana"/>
          <w:bCs/>
          <w:sz w:val="20"/>
          <w:szCs w:val="20"/>
        </w:rPr>
        <w:t>Pearson Higher Education regulations (where applicable);</w:t>
      </w:r>
    </w:p>
    <w:p w14:paraId="35DABC58" w14:textId="77777777" w:rsidR="00182DDA" w:rsidRPr="00182DDA" w:rsidRDefault="00182DDA" w:rsidP="00182DDA">
      <w:pPr>
        <w:pStyle w:val="NoSpacing"/>
        <w:numPr>
          <w:ilvl w:val="0"/>
          <w:numId w:val="28"/>
        </w:numPr>
        <w:rPr>
          <w:rFonts w:ascii="Verdana" w:hAnsi="Verdana"/>
          <w:bCs/>
          <w:sz w:val="20"/>
          <w:szCs w:val="20"/>
        </w:rPr>
      </w:pPr>
      <w:r w:rsidRPr="00182DDA">
        <w:rPr>
          <w:rFonts w:ascii="Verdana" w:hAnsi="Verdana"/>
          <w:bCs/>
          <w:sz w:val="20"/>
          <w:szCs w:val="20"/>
        </w:rPr>
        <w:t>University validating partner regulations (where applicable);</w:t>
      </w:r>
    </w:p>
    <w:p w14:paraId="237852D0" w14:textId="77777777" w:rsidR="00182DDA" w:rsidRDefault="00182DDA" w:rsidP="00182DDA">
      <w:pPr>
        <w:pStyle w:val="NoSpacing"/>
        <w:numPr>
          <w:ilvl w:val="0"/>
          <w:numId w:val="28"/>
        </w:numPr>
        <w:rPr>
          <w:rFonts w:ascii="Verdana" w:hAnsi="Verdana"/>
          <w:bCs/>
          <w:sz w:val="20"/>
          <w:szCs w:val="20"/>
        </w:rPr>
      </w:pPr>
      <w:r w:rsidRPr="00182DDA">
        <w:rPr>
          <w:rFonts w:ascii="Verdana" w:hAnsi="Verdana"/>
          <w:bCs/>
          <w:sz w:val="20"/>
          <w:szCs w:val="20"/>
        </w:rPr>
        <w:t>The College’s HE Academic Regulations.</w:t>
      </w:r>
    </w:p>
    <w:p w14:paraId="48D82977" w14:textId="77777777" w:rsidR="004C3873" w:rsidRPr="00182DDA" w:rsidRDefault="004C3873" w:rsidP="004C3873">
      <w:pPr>
        <w:pStyle w:val="NoSpacing"/>
        <w:ind w:left="720"/>
        <w:rPr>
          <w:rFonts w:ascii="Verdana" w:hAnsi="Verdana"/>
          <w:bCs/>
          <w:sz w:val="20"/>
          <w:szCs w:val="20"/>
        </w:rPr>
      </w:pPr>
    </w:p>
    <w:p w14:paraId="5A0DBD0B"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Completion of Procedures Letter</w:t>
      </w:r>
    </w:p>
    <w:p w14:paraId="636879FC" w14:textId="77777777" w:rsidR="004C3873" w:rsidRPr="00182DDA" w:rsidRDefault="004C3873" w:rsidP="00182DDA">
      <w:pPr>
        <w:pStyle w:val="NoSpacing"/>
        <w:ind w:left="720"/>
        <w:rPr>
          <w:rFonts w:ascii="Verdana" w:hAnsi="Verdana"/>
          <w:bCs/>
          <w:sz w:val="20"/>
          <w:szCs w:val="20"/>
        </w:rPr>
      </w:pPr>
    </w:p>
    <w:p w14:paraId="5C1A33C6"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Once all internal stages are exhausted, the learner will be issued with a Completion of Procedures Letter.</w:t>
      </w:r>
    </w:p>
    <w:p w14:paraId="7625A641" w14:textId="77777777" w:rsidR="004C3873" w:rsidRPr="00182DDA" w:rsidRDefault="004C3873" w:rsidP="00182DDA">
      <w:pPr>
        <w:pStyle w:val="NoSpacing"/>
        <w:ind w:left="720"/>
        <w:rPr>
          <w:rFonts w:ascii="Verdana" w:hAnsi="Verdana"/>
          <w:bCs/>
          <w:sz w:val="20"/>
          <w:szCs w:val="20"/>
        </w:rPr>
      </w:pPr>
    </w:p>
    <w:p w14:paraId="74411888"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Office of the Independent Adjudicator (OIA)</w:t>
      </w:r>
    </w:p>
    <w:p w14:paraId="38EE0174" w14:textId="77777777" w:rsidR="004C3873" w:rsidRPr="00182DDA" w:rsidRDefault="004C3873" w:rsidP="00182DDA">
      <w:pPr>
        <w:pStyle w:val="NoSpacing"/>
        <w:ind w:left="720"/>
        <w:rPr>
          <w:rFonts w:ascii="Verdana" w:hAnsi="Verdana"/>
          <w:bCs/>
          <w:sz w:val="20"/>
          <w:szCs w:val="20"/>
        </w:rPr>
      </w:pPr>
    </w:p>
    <w:p w14:paraId="247EF576" w14:textId="4CC45350" w:rsidR="00182DDA" w:rsidRDefault="00182DDA" w:rsidP="004C3873">
      <w:pPr>
        <w:pStyle w:val="NoSpacing"/>
        <w:ind w:left="720"/>
        <w:rPr>
          <w:rFonts w:ascii="Verdana" w:hAnsi="Verdana"/>
          <w:bCs/>
          <w:sz w:val="20"/>
          <w:szCs w:val="20"/>
        </w:rPr>
      </w:pPr>
      <w:r w:rsidRPr="00182DDA">
        <w:rPr>
          <w:rFonts w:ascii="Verdana" w:hAnsi="Verdana"/>
          <w:bCs/>
          <w:sz w:val="20"/>
          <w:szCs w:val="20"/>
        </w:rPr>
        <w:t xml:space="preserve">All HE learners have the right to submit an eligible complaint or academic appeal to the Office of the Independent Adjudicator for Higher Education (OIA) once the College’s internal </w:t>
      </w:r>
      <w:r w:rsidRPr="00182DDA">
        <w:rPr>
          <w:rFonts w:ascii="Verdana" w:hAnsi="Verdana"/>
          <w:bCs/>
          <w:sz w:val="20"/>
          <w:szCs w:val="20"/>
        </w:rPr>
        <w:lastRenderedPageBreak/>
        <w:t>procedures are complete.</w:t>
      </w:r>
      <w:r w:rsidR="004C3873">
        <w:rPr>
          <w:rFonts w:ascii="Verdana" w:hAnsi="Verdana"/>
          <w:bCs/>
          <w:sz w:val="20"/>
          <w:szCs w:val="20"/>
        </w:rPr>
        <w:t xml:space="preserve"> </w:t>
      </w:r>
      <w:r w:rsidRPr="00182DDA">
        <w:rPr>
          <w:rFonts w:ascii="Verdana" w:hAnsi="Verdana"/>
          <w:bCs/>
          <w:sz w:val="20"/>
          <w:szCs w:val="20"/>
        </w:rPr>
        <w:t>Details of how to apply to the OIA, including time limits, will be included in the Completion of Procedures Letter.</w:t>
      </w:r>
    </w:p>
    <w:p w14:paraId="06C7AEB9" w14:textId="77777777" w:rsidR="00C850FE" w:rsidRDefault="00C850FE" w:rsidP="004C3873">
      <w:pPr>
        <w:pStyle w:val="NoSpacing"/>
        <w:ind w:left="720"/>
        <w:rPr>
          <w:rFonts w:ascii="Verdana" w:hAnsi="Verdana"/>
          <w:bCs/>
          <w:sz w:val="20"/>
          <w:szCs w:val="20"/>
        </w:rPr>
      </w:pPr>
    </w:p>
    <w:p w14:paraId="243BCA78" w14:textId="2E2D049C" w:rsidR="00182DDA" w:rsidRPr="005C31EB" w:rsidRDefault="00182DDA" w:rsidP="004C3873">
      <w:pPr>
        <w:pStyle w:val="NoSpacing"/>
        <w:numPr>
          <w:ilvl w:val="0"/>
          <w:numId w:val="29"/>
        </w:numPr>
        <w:rPr>
          <w:rFonts w:ascii="Verdana" w:hAnsi="Verdana"/>
          <w:b/>
          <w:sz w:val="20"/>
          <w:szCs w:val="20"/>
        </w:rPr>
      </w:pPr>
      <w:r w:rsidRPr="005C31EB">
        <w:rPr>
          <w:rFonts w:ascii="Verdana" w:hAnsi="Verdana"/>
          <w:b/>
          <w:sz w:val="20"/>
          <w:szCs w:val="20"/>
        </w:rPr>
        <w:t>Records and Monitoring</w:t>
      </w:r>
    </w:p>
    <w:p w14:paraId="52414CD2" w14:textId="77777777" w:rsidR="004C3873" w:rsidRPr="00182DDA" w:rsidRDefault="004C3873" w:rsidP="004C3873">
      <w:pPr>
        <w:pStyle w:val="NoSpacing"/>
        <w:ind w:left="1080"/>
        <w:rPr>
          <w:rFonts w:ascii="Verdana" w:hAnsi="Verdana"/>
          <w:bCs/>
          <w:sz w:val="20"/>
          <w:szCs w:val="20"/>
        </w:rPr>
      </w:pPr>
    </w:p>
    <w:p w14:paraId="24D3200F" w14:textId="77777777" w:rsidR="00182DDA" w:rsidRDefault="00182DDA" w:rsidP="00182DDA">
      <w:pPr>
        <w:pStyle w:val="NoSpacing"/>
        <w:ind w:left="720"/>
        <w:rPr>
          <w:rFonts w:ascii="Verdana" w:hAnsi="Verdana"/>
          <w:bCs/>
          <w:sz w:val="20"/>
          <w:szCs w:val="20"/>
        </w:rPr>
      </w:pPr>
      <w:r w:rsidRPr="00182DDA">
        <w:rPr>
          <w:rFonts w:ascii="Verdana" w:hAnsi="Verdana"/>
          <w:bCs/>
          <w:sz w:val="20"/>
          <w:szCs w:val="20"/>
        </w:rPr>
        <w:t>Formal records of all appeals, including outcomes and timescales, will be retained securely by the College. Appeals data will be monitored to identify trends and inform quality improvement.</w:t>
      </w:r>
    </w:p>
    <w:p w14:paraId="4D0CF8FC" w14:textId="77777777" w:rsidR="004C3873" w:rsidRPr="00182DDA" w:rsidRDefault="004C3873" w:rsidP="00182DDA">
      <w:pPr>
        <w:pStyle w:val="NoSpacing"/>
        <w:ind w:left="720"/>
        <w:rPr>
          <w:rFonts w:ascii="Verdana" w:hAnsi="Verdana"/>
          <w:bCs/>
          <w:sz w:val="20"/>
          <w:szCs w:val="20"/>
        </w:rPr>
      </w:pPr>
    </w:p>
    <w:p w14:paraId="52819758" w14:textId="2F190D7D" w:rsidR="00182DDA" w:rsidRDefault="00182DDA" w:rsidP="004C3873">
      <w:pPr>
        <w:pStyle w:val="NoSpacing"/>
        <w:numPr>
          <w:ilvl w:val="0"/>
          <w:numId w:val="29"/>
        </w:numPr>
        <w:rPr>
          <w:rFonts w:ascii="Verdana" w:hAnsi="Verdana"/>
          <w:bCs/>
          <w:sz w:val="20"/>
          <w:szCs w:val="20"/>
        </w:rPr>
      </w:pPr>
      <w:r w:rsidRPr="00182DDA">
        <w:rPr>
          <w:rFonts w:ascii="Verdana" w:hAnsi="Verdana"/>
          <w:bCs/>
          <w:sz w:val="20"/>
          <w:szCs w:val="20"/>
        </w:rPr>
        <w:t>Review</w:t>
      </w:r>
    </w:p>
    <w:p w14:paraId="17EE6157" w14:textId="77777777" w:rsidR="004C3873" w:rsidRPr="00182DDA" w:rsidRDefault="004C3873" w:rsidP="004C3873">
      <w:pPr>
        <w:pStyle w:val="NoSpacing"/>
        <w:ind w:left="1080"/>
        <w:rPr>
          <w:rFonts w:ascii="Verdana" w:hAnsi="Verdana"/>
          <w:bCs/>
          <w:sz w:val="20"/>
          <w:szCs w:val="20"/>
        </w:rPr>
      </w:pPr>
    </w:p>
    <w:p w14:paraId="5097F823" w14:textId="77777777" w:rsidR="00182DDA" w:rsidRPr="00182DDA" w:rsidRDefault="00182DDA" w:rsidP="00182DDA">
      <w:pPr>
        <w:pStyle w:val="NoSpacing"/>
        <w:ind w:left="720"/>
        <w:rPr>
          <w:rFonts w:ascii="Verdana" w:hAnsi="Verdana"/>
          <w:bCs/>
          <w:sz w:val="20"/>
          <w:szCs w:val="20"/>
        </w:rPr>
      </w:pPr>
      <w:r w:rsidRPr="00182DDA">
        <w:rPr>
          <w:rFonts w:ascii="Verdana" w:hAnsi="Verdana"/>
          <w:bCs/>
          <w:sz w:val="20"/>
          <w:szCs w:val="20"/>
        </w:rPr>
        <w:t xml:space="preserve">This policy will be reviewed annually, or sooner where required by changes to JCQ guidance, awarding body regulations, </w:t>
      </w:r>
      <w:proofErr w:type="spellStart"/>
      <w:r w:rsidRPr="00182DDA">
        <w:rPr>
          <w:rFonts w:ascii="Verdana" w:hAnsi="Verdana"/>
          <w:bCs/>
          <w:sz w:val="20"/>
          <w:szCs w:val="20"/>
        </w:rPr>
        <w:t>OfS</w:t>
      </w:r>
      <w:proofErr w:type="spellEnd"/>
      <w:r w:rsidRPr="00182DDA">
        <w:rPr>
          <w:rFonts w:ascii="Verdana" w:hAnsi="Verdana"/>
          <w:bCs/>
          <w:sz w:val="20"/>
          <w:szCs w:val="20"/>
        </w:rPr>
        <w:t xml:space="preserve"> conditions, or OIA requirements.</w:t>
      </w:r>
    </w:p>
    <w:p w14:paraId="7605B6D1" w14:textId="67C5F86D" w:rsidR="00F5563B" w:rsidRPr="00182DDA" w:rsidRDefault="00F5563B" w:rsidP="004129DB">
      <w:pPr>
        <w:pStyle w:val="NoSpacing"/>
        <w:ind w:left="720"/>
        <w:rPr>
          <w:rFonts w:ascii="Verdana" w:hAnsi="Verdana"/>
          <w:bCs/>
          <w:sz w:val="20"/>
          <w:szCs w:val="20"/>
        </w:rPr>
      </w:pPr>
    </w:p>
    <w:sectPr w:rsidR="00F5563B" w:rsidRPr="00182DDA" w:rsidSect="005C438E">
      <w:headerReference w:type="default" r:id="rId11"/>
      <w:footerReference w:type="default" r:id="rId12"/>
      <w:pgSz w:w="11906" w:h="16838"/>
      <w:pgMar w:top="1017" w:right="849" w:bottom="1440"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6A41" w14:textId="77777777" w:rsidR="004E375C" w:rsidRDefault="004E375C" w:rsidP="00FE5D52">
      <w:r>
        <w:separator/>
      </w:r>
    </w:p>
  </w:endnote>
  <w:endnote w:type="continuationSeparator" w:id="0">
    <w:p w14:paraId="2459FC32" w14:textId="77777777" w:rsidR="004E375C" w:rsidRDefault="004E375C" w:rsidP="00FE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6"/>
      <w:gridCol w:w="1151"/>
      <w:gridCol w:w="1282"/>
      <w:gridCol w:w="1151"/>
      <w:gridCol w:w="1151"/>
      <w:gridCol w:w="1151"/>
      <w:gridCol w:w="1151"/>
      <w:gridCol w:w="1151"/>
      <w:gridCol w:w="1151"/>
    </w:tblGrid>
    <w:tr w:rsidR="00966EE4" w:rsidRPr="00AC7BA6" w14:paraId="536FC932" w14:textId="77777777" w:rsidTr="00471BB5">
      <w:tc>
        <w:tcPr>
          <w:tcW w:w="1219" w:type="dxa"/>
        </w:tcPr>
        <w:p w14:paraId="536FC929" w14:textId="77777777" w:rsidR="00966EE4" w:rsidRPr="00AC7BA6" w:rsidRDefault="00525F2A" w:rsidP="00AC7BA6">
          <w:pPr>
            <w:pStyle w:val="Footer"/>
            <w:jc w:val="center"/>
            <w:rPr>
              <w:b/>
            </w:rPr>
          </w:pPr>
          <w:r>
            <w:rPr>
              <w:b/>
            </w:rPr>
            <w:t>ISSUE</w:t>
          </w:r>
        </w:p>
      </w:tc>
      <w:tc>
        <w:tcPr>
          <w:tcW w:w="1151" w:type="dxa"/>
        </w:tcPr>
        <w:p w14:paraId="536FC92A" w14:textId="77777777" w:rsidR="00966EE4" w:rsidRPr="00AC7BA6" w:rsidRDefault="00966EE4" w:rsidP="00AC7BA6">
          <w:pPr>
            <w:pStyle w:val="Footer"/>
            <w:jc w:val="center"/>
            <w:rPr>
              <w:b/>
            </w:rPr>
          </w:pPr>
          <w:r w:rsidRPr="00AC7BA6">
            <w:rPr>
              <w:b/>
            </w:rPr>
            <w:t>0</w:t>
          </w:r>
        </w:p>
      </w:tc>
      <w:tc>
        <w:tcPr>
          <w:tcW w:w="1284" w:type="dxa"/>
        </w:tcPr>
        <w:p w14:paraId="536FC92B" w14:textId="77777777" w:rsidR="00966EE4" w:rsidRPr="00AC7BA6" w:rsidRDefault="00966EE4" w:rsidP="00AC7BA6">
          <w:pPr>
            <w:pStyle w:val="Footer"/>
            <w:jc w:val="center"/>
            <w:rPr>
              <w:b/>
            </w:rPr>
          </w:pPr>
          <w:r w:rsidRPr="00AC7BA6">
            <w:rPr>
              <w:b/>
            </w:rPr>
            <w:t>1</w:t>
          </w:r>
        </w:p>
      </w:tc>
      <w:tc>
        <w:tcPr>
          <w:tcW w:w="1151" w:type="dxa"/>
        </w:tcPr>
        <w:p w14:paraId="536FC92C" w14:textId="77777777" w:rsidR="00966EE4" w:rsidRPr="00AC7BA6" w:rsidRDefault="00966EE4" w:rsidP="00AC7BA6">
          <w:pPr>
            <w:pStyle w:val="Footer"/>
            <w:jc w:val="center"/>
            <w:rPr>
              <w:b/>
            </w:rPr>
          </w:pPr>
          <w:r w:rsidRPr="00AC7BA6">
            <w:rPr>
              <w:b/>
            </w:rPr>
            <w:t>2</w:t>
          </w:r>
        </w:p>
      </w:tc>
      <w:tc>
        <w:tcPr>
          <w:tcW w:w="1151" w:type="dxa"/>
        </w:tcPr>
        <w:p w14:paraId="536FC92D" w14:textId="77777777" w:rsidR="00966EE4" w:rsidRPr="00AC7BA6" w:rsidRDefault="00966EE4" w:rsidP="00AC7BA6">
          <w:pPr>
            <w:pStyle w:val="Footer"/>
            <w:jc w:val="center"/>
            <w:rPr>
              <w:b/>
            </w:rPr>
          </w:pPr>
          <w:r w:rsidRPr="00AC7BA6">
            <w:rPr>
              <w:b/>
            </w:rPr>
            <w:t>3</w:t>
          </w:r>
        </w:p>
      </w:tc>
      <w:tc>
        <w:tcPr>
          <w:tcW w:w="1151" w:type="dxa"/>
        </w:tcPr>
        <w:p w14:paraId="536FC92E" w14:textId="77777777" w:rsidR="00966EE4" w:rsidRPr="00AC7BA6" w:rsidRDefault="00966EE4" w:rsidP="00AC7BA6">
          <w:pPr>
            <w:pStyle w:val="Footer"/>
            <w:jc w:val="center"/>
            <w:rPr>
              <w:b/>
            </w:rPr>
          </w:pPr>
          <w:r w:rsidRPr="00AC7BA6">
            <w:rPr>
              <w:b/>
            </w:rPr>
            <w:t>4</w:t>
          </w:r>
        </w:p>
      </w:tc>
      <w:tc>
        <w:tcPr>
          <w:tcW w:w="1151" w:type="dxa"/>
        </w:tcPr>
        <w:p w14:paraId="536FC92F" w14:textId="77777777" w:rsidR="00966EE4" w:rsidRPr="00AC7BA6" w:rsidRDefault="00966EE4" w:rsidP="00AC7BA6">
          <w:pPr>
            <w:pStyle w:val="Footer"/>
            <w:jc w:val="center"/>
            <w:rPr>
              <w:b/>
            </w:rPr>
          </w:pPr>
          <w:r w:rsidRPr="00AC7BA6">
            <w:rPr>
              <w:b/>
            </w:rPr>
            <w:t>5</w:t>
          </w:r>
        </w:p>
      </w:tc>
      <w:tc>
        <w:tcPr>
          <w:tcW w:w="1151" w:type="dxa"/>
        </w:tcPr>
        <w:p w14:paraId="536FC930" w14:textId="77777777" w:rsidR="00966EE4" w:rsidRPr="00AC7BA6" w:rsidRDefault="00966EE4" w:rsidP="00AC7BA6">
          <w:pPr>
            <w:pStyle w:val="Footer"/>
            <w:jc w:val="center"/>
            <w:rPr>
              <w:b/>
            </w:rPr>
          </w:pPr>
          <w:r w:rsidRPr="00AC7BA6">
            <w:rPr>
              <w:b/>
            </w:rPr>
            <w:t>6</w:t>
          </w:r>
        </w:p>
      </w:tc>
      <w:tc>
        <w:tcPr>
          <w:tcW w:w="1146" w:type="dxa"/>
        </w:tcPr>
        <w:p w14:paraId="536FC931" w14:textId="77777777" w:rsidR="00966EE4" w:rsidRPr="00AC7BA6" w:rsidRDefault="00966EE4" w:rsidP="00AC7BA6">
          <w:pPr>
            <w:pStyle w:val="Footer"/>
            <w:jc w:val="center"/>
            <w:rPr>
              <w:b/>
            </w:rPr>
          </w:pPr>
          <w:r w:rsidRPr="00AC7BA6">
            <w:rPr>
              <w:b/>
            </w:rPr>
            <w:t>7</w:t>
          </w:r>
        </w:p>
      </w:tc>
    </w:tr>
    <w:tr w:rsidR="00966EE4" w:rsidRPr="00AC7BA6" w14:paraId="536FC93C" w14:textId="77777777" w:rsidTr="00471BB5">
      <w:tc>
        <w:tcPr>
          <w:tcW w:w="1219" w:type="dxa"/>
        </w:tcPr>
        <w:p w14:paraId="536FC933" w14:textId="77777777" w:rsidR="00966EE4" w:rsidRPr="00AC7BA6" w:rsidRDefault="00966EE4" w:rsidP="00AC7BA6">
          <w:pPr>
            <w:pStyle w:val="Footer"/>
            <w:jc w:val="center"/>
            <w:rPr>
              <w:b/>
            </w:rPr>
          </w:pPr>
          <w:r w:rsidRPr="00AC7BA6">
            <w:rPr>
              <w:b/>
            </w:rPr>
            <w:t>DATE</w:t>
          </w:r>
        </w:p>
      </w:tc>
      <w:tc>
        <w:tcPr>
          <w:tcW w:w="1151" w:type="dxa"/>
        </w:tcPr>
        <w:p w14:paraId="536FC934" w14:textId="77777777" w:rsidR="00966EE4" w:rsidRPr="00AC7BA6" w:rsidRDefault="00DF310A" w:rsidP="00AB1C99">
          <w:pPr>
            <w:jc w:val="center"/>
            <w:rPr>
              <w:rFonts w:cs="Arial"/>
              <w:b/>
            </w:rPr>
          </w:pPr>
          <w:r>
            <w:rPr>
              <w:rFonts w:cs="Arial"/>
              <w:b/>
            </w:rPr>
            <w:t>19.10.11</w:t>
          </w:r>
        </w:p>
      </w:tc>
      <w:tc>
        <w:tcPr>
          <w:tcW w:w="1284" w:type="dxa"/>
        </w:tcPr>
        <w:p w14:paraId="536FC935" w14:textId="77777777" w:rsidR="00966EE4" w:rsidRPr="00AC7BA6" w:rsidRDefault="00923F97" w:rsidP="00AC7BA6">
          <w:pPr>
            <w:jc w:val="center"/>
            <w:rPr>
              <w:rFonts w:cs="Arial"/>
              <w:b/>
            </w:rPr>
          </w:pPr>
          <w:r>
            <w:rPr>
              <w:rFonts w:cs="Arial"/>
              <w:b/>
            </w:rPr>
            <w:t>12.10.12</w:t>
          </w:r>
        </w:p>
      </w:tc>
      <w:tc>
        <w:tcPr>
          <w:tcW w:w="1151" w:type="dxa"/>
        </w:tcPr>
        <w:p w14:paraId="536FC936" w14:textId="77777777" w:rsidR="00966EE4" w:rsidRPr="00AC7BA6" w:rsidRDefault="005460C3" w:rsidP="00AC7BA6">
          <w:pPr>
            <w:jc w:val="center"/>
            <w:rPr>
              <w:rFonts w:cs="Arial"/>
              <w:b/>
            </w:rPr>
          </w:pPr>
          <w:r>
            <w:rPr>
              <w:rFonts w:cs="Arial"/>
              <w:b/>
            </w:rPr>
            <w:t>20.05.13</w:t>
          </w:r>
        </w:p>
      </w:tc>
      <w:tc>
        <w:tcPr>
          <w:tcW w:w="1151" w:type="dxa"/>
        </w:tcPr>
        <w:p w14:paraId="536FC937" w14:textId="77777777" w:rsidR="00966EE4" w:rsidRPr="00AC7BA6" w:rsidRDefault="005460C3" w:rsidP="00AC7BA6">
          <w:pPr>
            <w:jc w:val="center"/>
            <w:rPr>
              <w:rFonts w:cs="Arial"/>
              <w:b/>
            </w:rPr>
          </w:pPr>
          <w:r>
            <w:rPr>
              <w:rFonts w:cs="Arial"/>
              <w:b/>
            </w:rPr>
            <w:t>11.07.14</w:t>
          </w:r>
        </w:p>
      </w:tc>
      <w:tc>
        <w:tcPr>
          <w:tcW w:w="1151" w:type="dxa"/>
        </w:tcPr>
        <w:p w14:paraId="536FC938" w14:textId="77777777" w:rsidR="00966EE4" w:rsidRPr="00AC7BA6" w:rsidRDefault="005460C3" w:rsidP="00AC7BA6">
          <w:pPr>
            <w:jc w:val="center"/>
            <w:rPr>
              <w:rFonts w:cs="Arial"/>
              <w:b/>
            </w:rPr>
          </w:pPr>
          <w:r>
            <w:rPr>
              <w:rFonts w:cs="Arial"/>
              <w:b/>
            </w:rPr>
            <w:t>24.09.15</w:t>
          </w:r>
        </w:p>
      </w:tc>
      <w:tc>
        <w:tcPr>
          <w:tcW w:w="1151" w:type="dxa"/>
        </w:tcPr>
        <w:p w14:paraId="536FC939" w14:textId="77777777" w:rsidR="00966EE4" w:rsidRPr="00AC7BA6" w:rsidRDefault="00AB2F8A" w:rsidP="00AC7BA6">
          <w:pPr>
            <w:jc w:val="center"/>
            <w:rPr>
              <w:rFonts w:cs="Arial"/>
              <w:b/>
            </w:rPr>
          </w:pPr>
          <w:r>
            <w:rPr>
              <w:rFonts w:cs="Arial"/>
              <w:b/>
            </w:rPr>
            <w:t>07.11.16</w:t>
          </w:r>
        </w:p>
      </w:tc>
      <w:tc>
        <w:tcPr>
          <w:tcW w:w="1151" w:type="dxa"/>
        </w:tcPr>
        <w:p w14:paraId="536FC93A" w14:textId="353F1F3A" w:rsidR="00966EE4" w:rsidRPr="00AC7BA6" w:rsidRDefault="005D2B75" w:rsidP="00AC7BA6">
          <w:pPr>
            <w:jc w:val="center"/>
            <w:rPr>
              <w:rFonts w:cs="Arial"/>
              <w:b/>
            </w:rPr>
          </w:pPr>
          <w:r>
            <w:rPr>
              <w:rFonts w:cs="Arial"/>
              <w:b/>
            </w:rPr>
            <w:t>22.11.17</w:t>
          </w:r>
        </w:p>
      </w:tc>
      <w:tc>
        <w:tcPr>
          <w:tcW w:w="1146" w:type="dxa"/>
        </w:tcPr>
        <w:p w14:paraId="536FC93B" w14:textId="5FCC5248" w:rsidR="00966EE4" w:rsidRPr="00AC7BA6" w:rsidRDefault="00221984" w:rsidP="00AC7BA6">
          <w:pPr>
            <w:jc w:val="center"/>
            <w:rPr>
              <w:rFonts w:cs="Arial"/>
              <w:b/>
            </w:rPr>
          </w:pPr>
          <w:r>
            <w:rPr>
              <w:rFonts w:cs="Arial"/>
              <w:b/>
            </w:rPr>
            <w:t>04.01.18</w:t>
          </w:r>
        </w:p>
      </w:tc>
    </w:tr>
    <w:tr w:rsidR="00966EE4" w:rsidRPr="00AC7BA6" w14:paraId="536FC946" w14:textId="77777777" w:rsidTr="00471BB5">
      <w:tc>
        <w:tcPr>
          <w:tcW w:w="1219" w:type="dxa"/>
        </w:tcPr>
        <w:p w14:paraId="536FC93D" w14:textId="77777777" w:rsidR="00966EE4" w:rsidRPr="00AC7BA6" w:rsidRDefault="00525F2A" w:rsidP="00AC7BA6">
          <w:pPr>
            <w:pStyle w:val="Footer"/>
            <w:jc w:val="center"/>
            <w:rPr>
              <w:b/>
            </w:rPr>
          </w:pPr>
          <w:r>
            <w:rPr>
              <w:b/>
            </w:rPr>
            <w:t>ISSUE</w:t>
          </w:r>
        </w:p>
      </w:tc>
      <w:tc>
        <w:tcPr>
          <w:tcW w:w="1151" w:type="dxa"/>
        </w:tcPr>
        <w:p w14:paraId="536FC93E" w14:textId="77777777" w:rsidR="00966EE4" w:rsidRPr="00AC7BA6" w:rsidRDefault="00966EE4" w:rsidP="00AC7BA6">
          <w:pPr>
            <w:jc w:val="center"/>
            <w:rPr>
              <w:rFonts w:cs="Arial"/>
              <w:b/>
            </w:rPr>
          </w:pPr>
          <w:r w:rsidRPr="00AC7BA6">
            <w:rPr>
              <w:rFonts w:cs="Arial"/>
              <w:b/>
            </w:rPr>
            <w:t>8</w:t>
          </w:r>
        </w:p>
      </w:tc>
      <w:tc>
        <w:tcPr>
          <w:tcW w:w="1284" w:type="dxa"/>
        </w:tcPr>
        <w:p w14:paraId="536FC93F" w14:textId="77777777" w:rsidR="00966EE4" w:rsidRPr="00AC7BA6" w:rsidRDefault="00966EE4" w:rsidP="00AC7BA6">
          <w:pPr>
            <w:jc w:val="center"/>
            <w:rPr>
              <w:rFonts w:cs="Arial"/>
              <w:b/>
            </w:rPr>
          </w:pPr>
          <w:r w:rsidRPr="00AC7BA6">
            <w:rPr>
              <w:rFonts w:cs="Arial"/>
              <w:b/>
            </w:rPr>
            <w:t>9</w:t>
          </w:r>
        </w:p>
      </w:tc>
      <w:tc>
        <w:tcPr>
          <w:tcW w:w="1151" w:type="dxa"/>
        </w:tcPr>
        <w:p w14:paraId="536FC940" w14:textId="77777777" w:rsidR="00966EE4" w:rsidRPr="00AC7BA6" w:rsidRDefault="00966EE4" w:rsidP="00AC7BA6">
          <w:pPr>
            <w:jc w:val="center"/>
            <w:rPr>
              <w:rFonts w:cs="Arial"/>
              <w:b/>
            </w:rPr>
          </w:pPr>
          <w:r w:rsidRPr="00AC7BA6">
            <w:rPr>
              <w:rFonts w:cs="Arial"/>
              <w:b/>
            </w:rPr>
            <w:t>10</w:t>
          </w:r>
        </w:p>
      </w:tc>
      <w:tc>
        <w:tcPr>
          <w:tcW w:w="1151" w:type="dxa"/>
        </w:tcPr>
        <w:p w14:paraId="536FC941" w14:textId="19836C1B" w:rsidR="00966EE4" w:rsidRPr="00AC7BA6" w:rsidRDefault="007C53AA" w:rsidP="00AC7BA6">
          <w:pPr>
            <w:jc w:val="center"/>
            <w:rPr>
              <w:rFonts w:cs="Arial"/>
              <w:b/>
            </w:rPr>
          </w:pPr>
          <w:r>
            <w:rPr>
              <w:rFonts w:cs="Arial"/>
              <w:b/>
            </w:rPr>
            <w:t>11</w:t>
          </w:r>
        </w:p>
      </w:tc>
      <w:tc>
        <w:tcPr>
          <w:tcW w:w="1151" w:type="dxa"/>
        </w:tcPr>
        <w:p w14:paraId="536FC942" w14:textId="772C0795" w:rsidR="00966EE4" w:rsidRPr="00AC7BA6" w:rsidRDefault="002A6E85" w:rsidP="00AC7BA6">
          <w:pPr>
            <w:jc w:val="center"/>
            <w:rPr>
              <w:rFonts w:cs="Arial"/>
              <w:b/>
            </w:rPr>
          </w:pPr>
          <w:r>
            <w:rPr>
              <w:rFonts w:cs="Arial"/>
              <w:b/>
            </w:rPr>
            <w:t>12</w:t>
          </w:r>
        </w:p>
      </w:tc>
      <w:tc>
        <w:tcPr>
          <w:tcW w:w="1151" w:type="dxa"/>
        </w:tcPr>
        <w:p w14:paraId="536FC943" w14:textId="7F78C902" w:rsidR="00966EE4" w:rsidRPr="00AC7BA6" w:rsidRDefault="008754B9" w:rsidP="00AC7BA6">
          <w:pPr>
            <w:jc w:val="center"/>
            <w:rPr>
              <w:rFonts w:cs="Arial"/>
              <w:b/>
            </w:rPr>
          </w:pPr>
          <w:r>
            <w:rPr>
              <w:rFonts w:cs="Arial"/>
              <w:b/>
            </w:rPr>
            <w:t>13</w:t>
          </w:r>
        </w:p>
      </w:tc>
      <w:tc>
        <w:tcPr>
          <w:tcW w:w="1151" w:type="dxa"/>
        </w:tcPr>
        <w:p w14:paraId="536FC944" w14:textId="4F5F97A0" w:rsidR="00966EE4" w:rsidRPr="00AC7BA6" w:rsidRDefault="005E0DF8" w:rsidP="00AC7BA6">
          <w:pPr>
            <w:jc w:val="center"/>
            <w:rPr>
              <w:rFonts w:cs="Arial"/>
              <w:b/>
            </w:rPr>
          </w:pPr>
          <w:r>
            <w:rPr>
              <w:rFonts w:cs="Arial"/>
              <w:b/>
            </w:rPr>
            <w:t>14</w:t>
          </w:r>
        </w:p>
      </w:tc>
      <w:tc>
        <w:tcPr>
          <w:tcW w:w="1146" w:type="dxa"/>
        </w:tcPr>
        <w:p w14:paraId="536FC945" w14:textId="16B3D678" w:rsidR="00966EE4" w:rsidRPr="00AC7BA6" w:rsidRDefault="0032271E" w:rsidP="00AC7BA6">
          <w:pPr>
            <w:jc w:val="center"/>
            <w:rPr>
              <w:rFonts w:cs="Arial"/>
              <w:b/>
            </w:rPr>
          </w:pPr>
          <w:r>
            <w:rPr>
              <w:rFonts w:cs="Arial"/>
              <w:b/>
            </w:rPr>
            <w:t>15</w:t>
          </w:r>
        </w:p>
      </w:tc>
    </w:tr>
    <w:tr w:rsidR="00966EE4" w:rsidRPr="00AC7BA6" w14:paraId="536FC950" w14:textId="77777777" w:rsidTr="00471BB5">
      <w:tc>
        <w:tcPr>
          <w:tcW w:w="1219" w:type="dxa"/>
        </w:tcPr>
        <w:p w14:paraId="536FC947" w14:textId="77777777" w:rsidR="00966EE4" w:rsidRPr="00AC7BA6" w:rsidRDefault="00966EE4" w:rsidP="00AC7BA6">
          <w:pPr>
            <w:pStyle w:val="Footer"/>
            <w:jc w:val="center"/>
            <w:rPr>
              <w:b/>
            </w:rPr>
          </w:pPr>
          <w:r w:rsidRPr="00AC7BA6">
            <w:rPr>
              <w:b/>
            </w:rPr>
            <w:t>DATE</w:t>
          </w:r>
        </w:p>
      </w:tc>
      <w:tc>
        <w:tcPr>
          <w:tcW w:w="1151" w:type="dxa"/>
        </w:tcPr>
        <w:p w14:paraId="536FC948" w14:textId="4059561B" w:rsidR="00966EE4" w:rsidRPr="00AC7BA6" w:rsidRDefault="00BE0C95" w:rsidP="00AC7BA6">
          <w:pPr>
            <w:jc w:val="center"/>
            <w:rPr>
              <w:rFonts w:cs="Arial"/>
              <w:b/>
            </w:rPr>
          </w:pPr>
          <w:r>
            <w:rPr>
              <w:rFonts w:cs="Arial"/>
              <w:b/>
            </w:rPr>
            <w:t>10.09.18</w:t>
          </w:r>
        </w:p>
      </w:tc>
      <w:tc>
        <w:tcPr>
          <w:tcW w:w="1284" w:type="dxa"/>
        </w:tcPr>
        <w:p w14:paraId="536FC949" w14:textId="069176D7" w:rsidR="00966EE4" w:rsidRPr="00AC7BA6" w:rsidRDefault="006035B2" w:rsidP="00AC7BA6">
          <w:pPr>
            <w:jc w:val="center"/>
            <w:rPr>
              <w:rFonts w:cs="Arial"/>
              <w:b/>
            </w:rPr>
          </w:pPr>
          <w:r>
            <w:rPr>
              <w:rFonts w:cs="Arial"/>
              <w:b/>
            </w:rPr>
            <w:t>12.10.20</w:t>
          </w:r>
        </w:p>
      </w:tc>
      <w:tc>
        <w:tcPr>
          <w:tcW w:w="1151" w:type="dxa"/>
        </w:tcPr>
        <w:p w14:paraId="536FC94A" w14:textId="596BC2D0" w:rsidR="00966EE4" w:rsidRPr="00AC7BA6" w:rsidRDefault="00B92F4F" w:rsidP="00AC7BA6">
          <w:pPr>
            <w:jc w:val="center"/>
            <w:rPr>
              <w:rFonts w:cs="Arial"/>
              <w:b/>
            </w:rPr>
          </w:pPr>
          <w:r>
            <w:rPr>
              <w:rFonts w:cs="Arial"/>
              <w:b/>
            </w:rPr>
            <w:t>01.07.2</w:t>
          </w:r>
          <w:r w:rsidR="0079134B">
            <w:rPr>
              <w:rFonts w:cs="Arial"/>
              <w:b/>
            </w:rPr>
            <w:t>1</w:t>
          </w:r>
        </w:p>
      </w:tc>
      <w:tc>
        <w:tcPr>
          <w:tcW w:w="1151" w:type="dxa"/>
        </w:tcPr>
        <w:p w14:paraId="536FC94B" w14:textId="604582EE" w:rsidR="00966EE4" w:rsidRPr="00AC7BA6" w:rsidRDefault="007C53AA" w:rsidP="00AC7BA6">
          <w:pPr>
            <w:jc w:val="center"/>
            <w:rPr>
              <w:rFonts w:cs="Arial"/>
              <w:b/>
            </w:rPr>
          </w:pPr>
          <w:r>
            <w:rPr>
              <w:rFonts w:cs="Arial"/>
              <w:b/>
            </w:rPr>
            <w:t>14.09.22</w:t>
          </w:r>
        </w:p>
      </w:tc>
      <w:tc>
        <w:tcPr>
          <w:tcW w:w="1151" w:type="dxa"/>
        </w:tcPr>
        <w:p w14:paraId="536FC94C" w14:textId="172818D7" w:rsidR="00966EE4" w:rsidRPr="00AC7BA6" w:rsidRDefault="004577F0" w:rsidP="00AC7BA6">
          <w:pPr>
            <w:jc w:val="center"/>
            <w:rPr>
              <w:rFonts w:cs="Arial"/>
              <w:b/>
            </w:rPr>
          </w:pPr>
          <w:r>
            <w:rPr>
              <w:rFonts w:cs="Arial"/>
              <w:b/>
            </w:rPr>
            <w:t>12.09.23</w:t>
          </w:r>
        </w:p>
      </w:tc>
      <w:tc>
        <w:tcPr>
          <w:tcW w:w="1151" w:type="dxa"/>
        </w:tcPr>
        <w:p w14:paraId="536FC94D" w14:textId="2F894CAD" w:rsidR="00966EE4" w:rsidRPr="00AC7BA6" w:rsidRDefault="008754B9" w:rsidP="00AC7BA6">
          <w:pPr>
            <w:jc w:val="center"/>
            <w:rPr>
              <w:rFonts w:cs="Arial"/>
              <w:b/>
            </w:rPr>
          </w:pPr>
          <w:r>
            <w:rPr>
              <w:rFonts w:cs="Arial"/>
              <w:b/>
            </w:rPr>
            <w:t>17.01.24</w:t>
          </w:r>
        </w:p>
      </w:tc>
      <w:tc>
        <w:tcPr>
          <w:tcW w:w="1151" w:type="dxa"/>
        </w:tcPr>
        <w:p w14:paraId="536FC94E" w14:textId="6EB69A4B" w:rsidR="00966EE4" w:rsidRPr="00AC7BA6" w:rsidRDefault="005E0DF8" w:rsidP="00AC7BA6">
          <w:pPr>
            <w:jc w:val="center"/>
            <w:rPr>
              <w:rFonts w:cs="Arial"/>
              <w:b/>
            </w:rPr>
          </w:pPr>
          <w:r>
            <w:rPr>
              <w:rFonts w:cs="Arial"/>
              <w:b/>
            </w:rPr>
            <w:t>12.05.</w:t>
          </w:r>
          <w:r w:rsidR="00BC7A30">
            <w:rPr>
              <w:rFonts w:cs="Arial"/>
              <w:b/>
            </w:rPr>
            <w:t>25</w:t>
          </w:r>
        </w:p>
      </w:tc>
      <w:tc>
        <w:tcPr>
          <w:tcW w:w="1146" w:type="dxa"/>
        </w:tcPr>
        <w:p w14:paraId="536FC94F" w14:textId="34836C0C" w:rsidR="00966EE4" w:rsidRPr="00AC7BA6" w:rsidRDefault="0032271E" w:rsidP="00AC7BA6">
          <w:pPr>
            <w:jc w:val="center"/>
            <w:rPr>
              <w:rFonts w:cs="Arial"/>
              <w:b/>
            </w:rPr>
          </w:pPr>
          <w:r>
            <w:rPr>
              <w:rFonts w:cs="Arial"/>
              <w:b/>
            </w:rPr>
            <w:t>26.01.26</w:t>
          </w:r>
        </w:p>
      </w:tc>
    </w:tr>
    <w:tr w:rsidR="0032271E" w:rsidRPr="00AC7BA6" w14:paraId="2325D50B" w14:textId="77777777" w:rsidTr="00471BB5">
      <w:tc>
        <w:tcPr>
          <w:tcW w:w="1219" w:type="dxa"/>
        </w:tcPr>
        <w:p w14:paraId="6DB78330" w14:textId="4BDBA2BF" w:rsidR="0032271E" w:rsidRPr="00AC7BA6" w:rsidRDefault="0032271E" w:rsidP="00AC7BA6">
          <w:pPr>
            <w:pStyle w:val="Footer"/>
            <w:jc w:val="center"/>
            <w:rPr>
              <w:b/>
            </w:rPr>
          </w:pPr>
          <w:r>
            <w:rPr>
              <w:b/>
            </w:rPr>
            <w:t>ISSUE</w:t>
          </w:r>
        </w:p>
      </w:tc>
      <w:tc>
        <w:tcPr>
          <w:tcW w:w="1151" w:type="dxa"/>
        </w:tcPr>
        <w:p w14:paraId="3430A7D3" w14:textId="37E62131" w:rsidR="0032271E" w:rsidRDefault="0032271E" w:rsidP="00AC7BA6">
          <w:pPr>
            <w:jc w:val="center"/>
            <w:rPr>
              <w:rFonts w:cs="Arial"/>
              <w:b/>
            </w:rPr>
          </w:pPr>
          <w:r>
            <w:rPr>
              <w:rFonts w:cs="Arial"/>
              <w:b/>
            </w:rPr>
            <w:t>16</w:t>
          </w:r>
        </w:p>
      </w:tc>
      <w:tc>
        <w:tcPr>
          <w:tcW w:w="1284" w:type="dxa"/>
        </w:tcPr>
        <w:p w14:paraId="49A305F8" w14:textId="77777777" w:rsidR="0032271E" w:rsidRDefault="0032271E" w:rsidP="00AC7BA6">
          <w:pPr>
            <w:jc w:val="center"/>
            <w:rPr>
              <w:rFonts w:cs="Arial"/>
              <w:b/>
            </w:rPr>
          </w:pPr>
        </w:p>
      </w:tc>
      <w:tc>
        <w:tcPr>
          <w:tcW w:w="1151" w:type="dxa"/>
        </w:tcPr>
        <w:p w14:paraId="0E28DD67" w14:textId="77777777" w:rsidR="0032271E" w:rsidRDefault="0032271E" w:rsidP="00AC7BA6">
          <w:pPr>
            <w:jc w:val="center"/>
            <w:rPr>
              <w:rFonts w:cs="Arial"/>
              <w:b/>
            </w:rPr>
          </w:pPr>
        </w:p>
      </w:tc>
      <w:tc>
        <w:tcPr>
          <w:tcW w:w="1151" w:type="dxa"/>
        </w:tcPr>
        <w:p w14:paraId="50C277E2" w14:textId="77777777" w:rsidR="0032271E" w:rsidRDefault="0032271E" w:rsidP="00AC7BA6">
          <w:pPr>
            <w:jc w:val="center"/>
            <w:rPr>
              <w:rFonts w:cs="Arial"/>
              <w:b/>
            </w:rPr>
          </w:pPr>
        </w:p>
      </w:tc>
      <w:tc>
        <w:tcPr>
          <w:tcW w:w="1151" w:type="dxa"/>
        </w:tcPr>
        <w:p w14:paraId="4F7DED2C" w14:textId="77777777" w:rsidR="0032271E" w:rsidRDefault="0032271E" w:rsidP="00AC7BA6">
          <w:pPr>
            <w:jc w:val="center"/>
            <w:rPr>
              <w:rFonts w:cs="Arial"/>
              <w:b/>
            </w:rPr>
          </w:pPr>
        </w:p>
      </w:tc>
      <w:tc>
        <w:tcPr>
          <w:tcW w:w="1151" w:type="dxa"/>
        </w:tcPr>
        <w:p w14:paraId="2D00832F" w14:textId="77777777" w:rsidR="0032271E" w:rsidRDefault="0032271E" w:rsidP="00AC7BA6">
          <w:pPr>
            <w:jc w:val="center"/>
            <w:rPr>
              <w:rFonts w:cs="Arial"/>
              <w:b/>
            </w:rPr>
          </w:pPr>
        </w:p>
      </w:tc>
      <w:tc>
        <w:tcPr>
          <w:tcW w:w="1151" w:type="dxa"/>
        </w:tcPr>
        <w:p w14:paraId="07B55F85" w14:textId="77777777" w:rsidR="0032271E" w:rsidRDefault="0032271E" w:rsidP="00AC7BA6">
          <w:pPr>
            <w:jc w:val="center"/>
            <w:rPr>
              <w:rFonts w:cs="Arial"/>
              <w:b/>
            </w:rPr>
          </w:pPr>
        </w:p>
      </w:tc>
      <w:tc>
        <w:tcPr>
          <w:tcW w:w="1146" w:type="dxa"/>
        </w:tcPr>
        <w:p w14:paraId="541E22B1" w14:textId="77777777" w:rsidR="0032271E" w:rsidRDefault="0032271E" w:rsidP="00AC7BA6">
          <w:pPr>
            <w:jc w:val="center"/>
            <w:rPr>
              <w:rFonts w:cs="Arial"/>
              <w:b/>
            </w:rPr>
          </w:pPr>
        </w:p>
      </w:tc>
    </w:tr>
    <w:tr w:rsidR="0032271E" w:rsidRPr="00AC7BA6" w14:paraId="240A75CF" w14:textId="77777777" w:rsidTr="00471BB5">
      <w:tc>
        <w:tcPr>
          <w:tcW w:w="1219" w:type="dxa"/>
        </w:tcPr>
        <w:p w14:paraId="5171C708" w14:textId="6AC9532C" w:rsidR="0032271E" w:rsidRDefault="0032271E" w:rsidP="00AC7BA6">
          <w:pPr>
            <w:pStyle w:val="Footer"/>
            <w:jc w:val="center"/>
            <w:rPr>
              <w:b/>
            </w:rPr>
          </w:pPr>
          <w:r>
            <w:rPr>
              <w:b/>
            </w:rPr>
            <w:t>DATE</w:t>
          </w:r>
        </w:p>
      </w:tc>
      <w:tc>
        <w:tcPr>
          <w:tcW w:w="1151" w:type="dxa"/>
        </w:tcPr>
        <w:p w14:paraId="14ED63A9" w14:textId="31F0A00F" w:rsidR="0032271E" w:rsidRDefault="0032271E" w:rsidP="00AC7BA6">
          <w:pPr>
            <w:jc w:val="center"/>
            <w:rPr>
              <w:rFonts w:cs="Arial"/>
              <w:b/>
            </w:rPr>
          </w:pPr>
          <w:r>
            <w:rPr>
              <w:rFonts w:cs="Arial"/>
              <w:b/>
            </w:rPr>
            <w:t>27.04.26</w:t>
          </w:r>
        </w:p>
      </w:tc>
      <w:tc>
        <w:tcPr>
          <w:tcW w:w="1284" w:type="dxa"/>
        </w:tcPr>
        <w:p w14:paraId="7215177E" w14:textId="77777777" w:rsidR="0032271E" w:rsidRDefault="0032271E" w:rsidP="00AC7BA6">
          <w:pPr>
            <w:jc w:val="center"/>
            <w:rPr>
              <w:rFonts w:cs="Arial"/>
              <w:b/>
            </w:rPr>
          </w:pPr>
        </w:p>
      </w:tc>
      <w:tc>
        <w:tcPr>
          <w:tcW w:w="1151" w:type="dxa"/>
        </w:tcPr>
        <w:p w14:paraId="2E333975" w14:textId="77777777" w:rsidR="0032271E" w:rsidRDefault="0032271E" w:rsidP="00AC7BA6">
          <w:pPr>
            <w:jc w:val="center"/>
            <w:rPr>
              <w:rFonts w:cs="Arial"/>
              <w:b/>
            </w:rPr>
          </w:pPr>
        </w:p>
      </w:tc>
      <w:tc>
        <w:tcPr>
          <w:tcW w:w="1151" w:type="dxa"/>
        </w:tcPr>
        <w:p w14:paraId="7E2FFA91" w14:textId="77777777" w:rsidR="0032271E" w:rsidRDefault="0032271E" w:rsidP="00AC7BA6">
          <w:pPr>
            <w:jc w:val="center"/>
            <w:rPr>
              <w:rFonts w:cs="Arial"/>
              <w:b/>
            </w:rPr>
          </w:pPr>
        </w:p>
      </w:tc>
      <w:tc>
        <w:tcPr>
          <w:tcW w:w="1151" w:type="dxa"/>
        </w:tcPr>
        <w:p w14:paraId="11AC8E4E" w14:textId="77777777" w:rsidR="0032271E" w:rsidRDefault="0032271E" w:rsidP="00AC7BA6">
          <w:pPr>
            <w:jc w:val="center"/>
            <w:rPr>
              <w:rFonts w:cs="Arial"/>
              <w:b/>
            </w:rPr>
          </w:pPr>
        </w:p>
      </w:tc>
      <w:tc>
        <w:tcPr>
          <w:tcW w:w="1151" w:type="dxa"/>
        </w:tcPr>
        <w:p w14:paraId="23DC031B" w14:textId="77777777" w:rsidR="0032271E" w:rsidRDefault="0032271E" w:rsidP="00AC7BA6">
          <w:pPr>
            <w:jc w:val="center"/>
            <w:rPr>
              <w:rFonts w:cs="Arial"/>
              <w:b/>
            </w:rPr>
          </w:pPr>
        </w:p>
      </w:tc>
      <w:tc>
        <w:tcPr>
          <w:tcW w:w="1151" w:type="dxa"/>
        </w:tcPr>
        <w:p w14:paraId="4A6FE233" w14:textId="77777777" w:rsidR="0032271E" w:rsidRDefault="0032271E" w:rsidP="00AC7BA6">
          <w:pPr>
            <w:jc w:val="center"/>
            <w:rPr>
              <w:rFonts w:cs="Arial"/>
              <w:b/>
            </w:rPr>
          </w:pPr>
        </w:p>
      </w:tc>
      <w:tc>
        <w:tcPr>
          <w:tcW w:w="1146" w:type="dxa"/>
        </w:tcPr>
        <w:p w14:paraId="41458BA1" w14:textId="77777777" w:rsidR="0032271E" w:rsidRDefault="0032271E" w:rsidP="00AC7BA6">
          <w:pPr>
            <w:jc w:val="center"/>
            <w:rPr>
              <w:rFonts w:cs="Arial"/>
              <w:b/>
            </w:rPr>
          </w:pPr>
        </w:p>
      </w:tc>
    </w:tr>
  </w:tbl>
  <w:p w14:paraId="536FC951" w14:textId="77777777" w:rsidR="00966EE4" w:rsidRDefault="0096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A339" w14:textId="77777777" w:rsidR="004E375C" w:rsidRDefault="004E375C" w:rsidP="00FE5D52">
      <w:r>
        <w:separator/>
      </w:r>
    </w:p>
  </w:footnote>
  <w:footnote w:type="continuationSeparator" w:id="0">
    <w:p w14:paraId="52C359C7" w14:textId="77777777" w:rsidR="004E375C" w:rsidRDefault="004E375C" w:rsidP="00FE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6"/>
      <w:gridCol w:w="4980"/>
      <w:gridCol w:w="1237"/>
      <w:gridCol w:w="1213"/>
    </w:tblGrid>
    <w:tr w:rsidR="00966EE4" w:rsidRPr="00AC7BA6" w14:paraId="536FC91D" w14:textId="77777777" w:rsidTr="00F13E0E">
      <w:tc>
        <w:tcPr>
          <w:tcW w:w="1908" w:type="dxa"/>
          <w:vMerge w:val="restart"/>
          <w:vAlign w:val="center"/>
        </w:tcPr>
        <w:p w14:paraId="536FC917" w14:textId="58A50502" w:rsidR="00966EE4" w:rsidRPr="00AC7BA6" w:rsidRDefault="00BE0C95" w:rsidP="00AC7BA6">
          <w:pPr>
            <w:pStyle w:val="Header"/>
            <w:jc w:val="center"/>
          </w:pPr>
          <w:r>
            <w:rPr>
              <w:noProof/>
              <w:lang w:eastAsia="en-GB"/>
            </w:rPr>
            <w:drawing>
              <wp:inline distT="0" distB="0" distL="0" distR="0" wp14:anchorId="4DBE0F51" wp14:editId="1625EFC1">
                <wp:extent cx="1619250" cy="88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107" cy="885393"/>
                        </a:xfrm>
                        <a:prstGeom prst="rect">
                          <a:avLst/>
                        </a:prstGeom>
                        <a:noFill/>
                      </pic:spPr>
                    </pic:pic>
                  </a:graphicData>
                </a:graphic>
              </wp:inline>
            </w:drawing>
          </w:r>
        </w:p>
      </w:tc>
      <w:tc>
        <w:tcPr>
          <w:tcW w:w="6002" w:type="dxa"/>
          <w:vMerge w:val="restart"/>
        </w:tcPr>
        <w:p w14:paraId="536FC918" w14:textId="77777777" w:rsidR="00966EE4" w:rsidRPr="0032271E" w:rsidRDefault="00510F15" w:rsidP="0032271E">
          <w:pPr>
            <w:pStyle w:val="Header"/>
            <w:jc w:val="center"/>
            <w:rPr>
              <w:b/>
              <w:bCs/>
            </w:rPr>
          </w:pPr>
          <w:r w:rsidRPr="0032271E">
            <w:rPr>
              <w:b/>
              <w:bCs/>
            </w:rPr>
            <w:t>CURRICULUM</w:t>
          </w:r>
        </w:p>
        <w:p w14:paraId="536FC919" w14:textId="7BD9BAFB" w:rsidR="009B70CE" w:rsidRPr="0032271E" w:rsidRDefault="009B70CE" w:rsidP="0032271E">
          <w:pPr>
            <w:jc w:val="center"/>
            <w:rPr>
              <w:b/>
              <w:bCs/>
            </w:rPr>
          </w:pPr>
        </w:p>
        <w:p w14:paraId="6AEBFEE1" w14:textId="77777777" w:rsidR="00182DDA" w:rsidRPr="0032271E" w:rsidRDefault="00182DDA" w:rsidP="0032271E">
          <w:pPr>
            <w:pStyle w:val="NoSpacing"/>
            <w:jc w:val="center"/>
            <w:rPr>
              <w:rFonts w:ascii="Verdana" w:hAnsi="Verdana"/>
              <w:b/>
              <w:bCs/>
              <w:sz w:val="20"/>
              <w:szCs w:val="20"/>
            </w:rPr>
          </w:pPr>
          <w:r w:rsidRPr="0032271E">
            <w:rPr>
              <w:rFonts w:ascii="Verdana" w:hAnsi="Verdana"/>
              <w:b/>
              <w:bCs/>
              <w:sz w:val="20"/>
              <w:szCs w:val="20"/>
            </w:rPr>
            <w:t>Learner Appeals and Academic Appeals Policy</w:t>
          </w:r>
        </w:p>
        <w:p w14:paraId="536FC91A" w14:textId="23BED487" w:rsidR="00966EE4" w:rsidRPr="00AC7BA6" w:rsidRDefault="00966EE4" w:rsidP="00182DDA">
          <w:pPr>
            <w:rPr>
              <w:b/>
            </w:rPr>
          </w:pPr>
        </w:p>
      </w:tc>
      <w:tc>
        <w:tcPr>
          <w:tcW w:w="1274" w:type="dxa"/>
        </w:tcPr>
        <w:p w14:paraId="536FC91B" w14:textId="77777777" w:rsidR="00966EE4" w:rsidRPr="00AC7BA6" w:rsidRDefault="00966EE4">
          <w:pPr>
            <w:pStyle w:val="Header"/>
            <w:rPr>
              <w:b/>
            </w:rPr>
          </w:pPr>
          <w:r w:rsidRPr="00AC7BA6">
            <w:rPr>
              <w:b/>
            </w:rPr>
            <w:t>Number</w:t>
          </w:r>
        </w:p>
      </w:tc>
      <w:tc>
        <w:tcPr>
          <w:tcW w:w="1238" w:type="dxa"/>
        </w:tcPr>
        <w:p w14:paraId="536FC91C" w14:textId="77777777" w:rsidR="00966EE4" w:rsidRPr="00AC7BA6" w:rsidRDefault="00A607C8" w:rsidP="00433470">
          <w:pPr>
            <w:pStyle w:val="Header"/>
            <w:jc w:val="center"/>
            <w:rPr>
              <w:b/>
            </w:rPr>
          </w:pPr>
          <w:r>
            <w:rPr>
              <w:b/>
            </w:rPr>
            <w:t>CUR0</w:t>
          </w:r>
          <w:r w:rsidR="00AB1C99">
            <w:rPr>
              <w:b/>
            </w:rPr>
            <w:t>0</w:t>
          </w:r>
          <w:r>
            <w:rPr>
              <w:b/>
            </w:rPr>
            <w:t>9</w:t>
          </w:r>
        </w:p>
      </w:tc>
    </w:tr>
    <w:tr w:rsidR="00966EE4" w:rsidRPr="00AC7BA6" w14:paraId="536FC922" w14:textId="77777777" w:rsidTr="00F13E0E">
      <w:tc>
        <w:tcPr>
          <w:tcW w:w="1908" w:type="dxa"/>
          <w:vMerge/>
        </w:tcPr>
        <w:p w14:paraId="536FC91E" w14:textId="77777777" w:rsidR="00966EE4" w:rsidRPr="00AC7BA6" w:rsidRDefault="00966EE4">
          <w:pPr>
            <w:pStyle w:val="Header"/>
          </w:pPr>
        </w:p>
      </w:tc>
      <w:tc>
        <w:tcPr>
          <w:tcW w:w="6002" w:type="dxa"/>
          <w:vMerge/>
        </w:tcPr>
        <w:p w14:paraId="536FC91F" w14:textId="77777777" w:rsidR="00966EE4" w:rsidRPr="00AC7BA6" w:rsidRDefault="00966EE4">
          <w:pPr>
            <w:pStyle w:val="Header"/>
          </w:pPr>
        </w:p>
      </w:tc>
      <w:tc>
        <w:tcPr>
          <w:tcW w:w="1274" w:type="dxa"/>
        </w:tcPr>
        <w:p w14:paraId="536FC920" w14:textId="77777777" w:rsidR="00966EE4" w:rsidRPr="00AC7BA6" w:rsidRDefault="00966EE4">
          <w:pPr>
            <w:pStyle w:val="Header"/>
            <w:rPr>
              <w:b/>
            </w:rPr>
          </w:pPr>
          <w:r w:rsidRPr="00AC7BA6">
            <w:rPr>
              <w:b/>
            </w:rPr>
            <w:t>Page</w:t>
          </w:r>
        </w:p>
      </w:tc>
      <w:tc>
        <w:tcPr>
          <w:tcW w:w="1238" w:type="dxa"/>
        </w:tcPr>
        <w:p w14:paraId="536FC921" w14:textId="5E30E4DF" w:rsidR="00966EE4" w:rsidRPr="00AC7BA6" w:rsidRDefault="00C902D1" w:rsidP="00AC7BA6">
          <w:pPr>
            <w:jc w:val="center"/>
          </w:pPr>
          <w:r w:rsidRPr="00AC7BA6">
            <w:rPr>
              <w:b/>
            </w:rPr>
            <w:fldChar w:fldCharType="begin"/>
          </w:r>
          <w:r w:rsidR="00966EE4" w:rsidRPr="00AC7BA6">
            <w:rPr>
              <w:b/>
            </w:rPr>
            <w:instrText xml:space="preserve"> PAGE </w:instrText>
          </w:r>
          <w:r w:rsidRPr="00AC7BA6">
            <w:rPr>
              <w:b/>
            </w:rPr>
            <w:fldChar w:fldCharType="separate"/>
          </w:r>
          <w:r w:rsidR="00FF4C1C">
            <w:rPr>
              <w:b/>
              <w:noProof/>
            </w:rPr>
            <w:t>1</w:t>
          </w:r>
          <w:r w:rsidRPr="00AC7BA6">
            <w:rPr>
              <w:b/>
            </w:rPr>
            <w:fldChar w:fldCharType="end"/>
          </w:r>
          <w:r w:rsidR="00966EE4" w:rsidRPr="00AC7BA6">
            <w:rPr>
              <w:b/>
            </w:rPr>
            <w:t xml:space="preserve"> of </w:t>
          </w:r>
          <w:r w:rsidRPr="00AC7BA6">
            <w:rPr>
              <w:b/>
            </w:rPr>
            <w:fldChar w:fldCharType="begin"/>
          </w:r>
          <w:r w:rsidR="00966EE4" w:rsidRPr="00AC7BA6">
            <w:rPr>
              <w:b/>
            </w:rPr>
            <w:instrText xml:space="preserve"> NUMPAGES  </w:instrText>
          </w:r>
          <w:r w:rsidRPr="00AC7BA6">
            <w:rPr>
              <w:b/>
            </w:rPr>
            <w:fldChar w:fldCharType="separate"/>
          </w:r>
          <w:r w:rsidR="00FF4C1C">
            <w:rPr>
              <w:b/>
              <w:noProof/>
            </w:rPr>
            <w:t>4</w:t>
          </w:r>
          <w:r w:rsidRPr="00AC7BA6">
            <w:rPr>
              <w:b/>
            </w:rPr>
            <w:fldChar w:fldCharType="end"/>
          </w:r>
        </w:p>
      </w:tc>
    </w:tr>
    <w:tr w:rsidR="00966EE4" w:rsidRPr="00AC7BA6" w14:paraId="536FC927" w14:textId="77777777" w:rsidTr="00F13E0E">
      <w:tc>
        <w:tcPr>
          <w:tcW w:w="1908" w:type="dxa"/>
          <w:vMerge/>
        </w:tcPr>
        <w:p w14:paraId="536FC923" w14:textId="77777777" w:rsidR="00966EE4" w:rsidRPr="00AC7BA6" w:rsidRDefault="00966EE4">
          <w:pPr>
            <w:pStyle w:val="Header"/>
          </w:pPr>
        </w:p>
      </w:tc>
      <w:tc>
        <w:tcPr>
          <w:tcW w:w="6002" w:type="dxa"/>
          <w:vMerge/>
        </w:tcPr>
        <w:p w14:paraId="536FC924" w14:textId="77777777" w:rsidR="00966EE4" w:rsidRPr="00AC7BA6" w:rsidRDefault="00966EE4">
          <w:pPr>
            <w:pStyle w:val="Header"/>
          </w:pPr>
        </w:p>
      </w:tc>
      <w:tc>
        <w:tcPr>
          <w:tcW w:w="1274" w:type="dxa"/>
        </w:tcPr>
        <w:p w14:paraId="536FC925" w14:textId="77777777" w:rsidR="00966EE4" w:rsidRPr="00AC7BA6" w:rsidRDefault="00525F2A">
          <w:pPr>
            <w:pStyle w:val="Header"/>
            <w:rPr>
              <w:b/>
            </w:rPr>
          </w:pPr>
          <w:r>
            <w:rPr>
              <w:b/>
            </w:rPr>
            <w:t>Policy</w:t>
          </w:r>
        </w:p>
      </w:tc>
      <w:tc>
        <w:tcPr>
          <w:tcW w:w="1238" w:type="dxa"/>
        </w:tcPr>
        <w:p w14:paraId="536FC926" w14:textId="77777777" w:rsidR="00966EE4" w:rsidRPr="00AC7BA6" w:rsidRDefault="00525F2A" w:rsidP="00AC7BA6">
          <w:pPr>
            <w:pStyle w:val="Header"/>
            <w:jc w:val="center"/>
            <w:rPr>
              <w:b/>
            </w:rPr>
          </w:pPr>
          <w:r>
            <w:rPr>
              <w:b/>
            </w:rPr>
            <w:t>6</w:t>
          </w:r>
        </w:p>
      </w:tc>
    </w:tr>
  </w:tbl>
  <w:p w14:paraId="536FC928" w14:textId="77777777" w:rsidR="00966EE4" w:rsidRDefault="00966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26E"/>
    <w:multiLevelType w:val="multilevel"/>
    <w:tmpl w:val="893089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3160C48"/>
    <w:multiLevelType w:val="multilevel"/>
    <w:tmpl w:val="C0D8B1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94520"/>
    <w:multiLevelType w:val="multilevel"/>
    <w:tmpl w:val="224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BBB"/>
    <w:multiLevelType w:val="multilevel"/>
    <w:tmpl w:val="7B24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733C"/>
    <w:multiLevelType w:val="multilevel"/>
    <w:tmpl w:val="A5EA8552"/>
    <w:lvl w:ilvl="0">
      <w:start w:val="1"/>
      <w:numFmt w:val="decimal"/>
      <w:lvlText w:val="%1"/>
      <w:lvlJc w:val="left"/>
      <w:pPr>
        <w:ind w:left="720" w:hanging="360"/>
      </w:pPr>
      <w:rPr>
        <w:rFonts w:hint="default"/>
        <w:b/>
        <w:color w:val="000000"/>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837B0"/>
    <w:multiLevelType w:val="multilevel"/>
    <w:tmpl w:val="299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74BC7"/>
    <w:multiLevelType w:val="hybridMultilevel"/>
    <w:tmpl w:val="AC1C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37B1"/>
    <w:multiLevelType w:val="hybridMultilevel"/>
    <w:tmpl w:val="76F639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49F0F93"/>
    <w:multiLevelType w:val="hybridMultilevel"/>
    <w:tmpl w:val="60F632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0666F60"/>
    <w:multiLevelType w:val="multilevel"/>
    <w:tmpl w:val="09A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368CB"/>
    <w:multiLevelType w:val="hybridMultilevel"/>
    <w:tmpl w:val="10E43D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1A957D1"/>
    <w:multiLevelType w:val="multilevel"/>
    <w:tmpl w:val="8EF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B7276"/>
    <w:multiLevelType w:val="multilevel"/>
    <w:tmpl w:val="D6C2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C17C2"/>
    <w:multiLevelType w:val="hybridMultilevel"/>
    <w:tmpl w:val="36EC7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6478D"/>
    <w:multiLevelType w:val="hybridMultilevel"/>
    <w:tmpl w:val="6976408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E521E89"/>
    <w:multiLevelType w:val="hybridMultilevel"/>
    <w:tmpl w:val="5ABA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85AD4"/>
    <w:multiLevelType w:val="multilevel"/>
    <w:tmpl w:val="85F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619A1"/>
    <w:multiLevelType w:val="multilevel"/>
    <w:tmpl w:val="B454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02043"/>
    <w:multiLevelType w:val="multilevel"/>
    <w:tmpl w:val="D03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76557"/>
    <w:multiLevelType w:val="multilevel"/>
    <w:tmpl w:val="0A5E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312CE"/>
    <w:multiLevelType w:val="hybridMultilevel"/>
    <w:tmpl w:val="150005F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73B2FF7"/>
    <w:multiLevelType w:val="multilevel"/>
    <w:tmpl w:val="860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724B8"/>
    <w:multiLevelType w:val="hybridMultilevel"/>
    <w:tmpl w:val="F46A3DD2"/>
    <w:lvl w:ilvl="0" w:tplc="6674F014">
      <w:start w:val="1"/>
      <w:numFmt w:val="bullet"/>
      <w:lvlText w:val=""/>
      <w:lvlJc w:val="left"/>
      <w:pPr>
        <w:tabs>
          <w:tab w:val="num" w:pos="1332"/>
        </w:tabs>
        <w:ind w:left="1332" w:hanging="612"/>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AC36EE"/>
    <w:multiLevelType w:val="hybridMultilevel"/>
    <w:tmpl w:val="E7AC3408"/>
    <w:lvl w:ilvl="0" w:tplc="39A03B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F5522C"/>
    <w:multiLevelType w:val="hybridMultilevel"/>
    <w:tmpl w:val="326E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C3B5D"/>
    <w:multiLevelType w:val="multilevel"/>
    <w:tmpl w:val="1F98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F4C63"/>
    <w:multiLevelType w:val="hybridMultilevel"/>
    <w:tmpl w:val="640CB338"/>
    <w:lvl w:ilvl="0" w:tplc="6674F014">
      <w:start w:val="1"/>
      <w:numFmt w:val="bullet"/>
      <w:lvlText w:val=""/>
      <w:lvlJc w:val="left"/>
      <w:pPr>
        <w:tabs>
          <w:tab w:val="num" w:pos="1332"/>
        </w:tabs>
        <w:ind w:left="1332" w:hanging="612"/>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A97DBB"/>
    <w:multiLevelType w:val="hybridMultilevel"/>
    <w:tmpl w:val="7E24A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C2626"/>
    <w:multiLevelType w:val="hybridMultilevel"/>
    <w:tmpl w:val="6F048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4"/>
  </w:num>
  <w:num w:numId="2">
    <w:abstractNumId w:val="1"/>
  </w:num>
  <w:num w:numId="3">
    <w:abstractNumId w:val="22"/>
  </w:num>
  <w:num w:numId="4">
    <w:abstractNumId w:val="27"/>
  </w:num>
  <w:num w:numId="5">
    <w:abstractNumId w:val="14"/>
  </w:num>
  <w:num w:numId="6">
    <w:abstractNumId w:val="0"/>
  </w:num>
  <w:num w:numId="7">
    <w:abstractNumId w:val="26"/>
  </w:num>
  <w:num w:numId="8">
    <w:abstractNumId w:val="15"/>
  </w:num>
  <w:num w:numId="9">
    <w:abstractNumId w:val="24"/>
  </w:num>
  <w:num w:numId="10">
    <w:abstractNumId w:val="6"/>
  </w:num>
  <w:num w:numId="11">
    <w:abstractNumId w:val="7"/>
  </w:num>
  <w:num w:numId="12">
    <w:abstractNumId w:val="10"/>
  </w:num>
  <w:num w:numId="13">
    <w:abstractNumId w:val="28"/>
  </w:num>
  <w:num w:numId="14">
    <w:abstractNumId w:val="8"/>
  </w:num>
  <w:num w:numId="15">
    <w:abstractNumId w:val="20"/>
  </w:num>
  <w:num w:numId="16">
    <w:abstractNumId w:val="13"/>
  </w:num>
  <w:num w:numId="17">
    <w:abstractNumId w:val="16"/>
  </w:num>
  <w:num w:numId="18">
    <w:abstractNumId w:val="17"/>
  </w:num>
  <w:num w:numId="19">
    <w:abstractNumId w:val="5"/>
  </w:num>
  <w:num w:numId="20">
    <w:abstractNumId w:val="25"/>
  </w:num>
  <w:num w:numId="21">
    <w:abstractNumId w:val="21"/>
  </w:num>
  <w:num w:numId="22">
    <w:abstractNumId w:val="12"/>
  </w:num>
  <w:num w:numId="23">
    <w:abstractNumId w:val="19"/>
  </w:num>
  <w:num w:numId="24">
    <w:abstractNumId w:val="2"/>
  </w:num>
  <w:num w:numId="25">
    <w:abstractNumId w:val="11"/>
  </w:num>
  <w:num w:numId="26">
    <w:abstractNumId w:val="18"/>
  </w:num>
  <w:num w:numId="27">
    <w:abstractNumId w:val="3"/>
  </w:num>
  <w:num w:numId="28">
    <w:abstractNumId w:val="9"/>
  </w:num>
  <w:num w:numId="2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17616"/>
    <w:rsid w:val="000176CD"/>
    <w:rsid w:val="000323EF"/>
    <w:rsid w:val="00033446"/>
    <w:rsid w:val="000367BD"/>
    <w:rsid w:val="00041598"/>
    <w:rsid w:val="000438EE"/>
    <w:rsid w:val="00050545"/>
    <w:rsid w:val="00050995"/>
    <w:rsid w:val="00061A3F"/>
    <w:rsid w:val="000B5B32"/>
    <w:rsid w:val="000C4576"/>
    <w:rsid w:val="000D58BE"/>
    <w:rsid w:val="000E2941"/>
    <w:rsid w:val="000E4AED"/>
    <w:rsid w:val="000E4C70"/>
    <w:rsid w:val="000F3E26"/>
    <w:rsid w:val="001152CF"/>
    <w:rsid w:val="001169EE"/>
    <w:rsid w:val="00132FE4"/>
    <w:rsid w:val="0013491D"/>
    <w:rsid w:val="00141BCE"/>
    <w:rsid w:val="00142FA0"/>
    <w:rsid w:val="001453A1"/>
    <w:rsid w:val="00145590"/>
    <w:rsid w:val="00150E62"/>
    <w:rsid w:val="00155FE6"/>
    <w:rsid w:val="00157AE7"/>
    <w:rsid w:val="001601C4"/>
    <w:rsid w:val="0016465D"/>
    <w:rsid w:val="00173482"/>
    <w:rsid w:val="00180656"/>
    <w:rsid w:val="00182DDA"/>
    <w:rsid w:val="00190DE9"/>
    <w:rsid w:val="001917D6"/>
    <w:rsid w:val="00192A1B"/>
    <w:rsid w:val="001D04F7"/>
    <w:rsid w:val="001D4014"/>
    <w:rsid w:val="001E1A5B"/>
    <w:rsid w:val="001F2C8E"/>
    <w:rsid w:val="001F540A"/>
    <w:rsid w:val="00210F4E"/>
    <w:rsid w:val="00221984"/>
    <w:rsid w:val="00221BBB"/>
    <w:rsid w:val="00230D0F"/>
    <w:rsid w:val="002401F9"/>
    <w:rsid w:val="00241B1B"/>
    <w:rsid w:val="00246272"/>
    <w:rsid w:val="00252DF7"/>
    <w:rsid w:val="00254549"/>
    <w:rsid w:val="00261AF4"/>
    <w:rsid w:val="00277CEB"/>
    <w:rsid w:val="0028447C"/>
    <w:rsid w:val="002905CB"/>
    <w:rsid w:val="002910DD"/>
    <w:rsid w:val="002A029D"/>
    <w:rsid w:val="002A0C63"/>
    <w:rsid w:val="002A0D50"/>
    <w:rsid w:val="002A6CDF"/>
    <w:rsid w:val="002A6E85"/>
    <w:rsid w:val="002B1E21"/>
    <w:rsid w:val="002D24DA"/>
    <w:rsid w:val="002D29FF"/>
    <w:rsid w:val="002F4298"/>
    <w:rsid w:val="002F4E82"/>
    <w:rsid w:val="003009F2"/>
    <w:rsid w:val="00303DE7"/>
    <w:rsid w:val="00306605"/>
    <w:rsid w:val="00310068"/>
    <w:rsid w:val="00313589"/>
    <w:rsid w:val="00317CA2"/>
    <w:rsid w:val="0032271E"/>
    <w:rsid w:val="0035735F"/>
    <w:rsid w:val="00363C17"/>
    <w:rsid w:val="003642FE"/>
    <w:rsid w:val="00384EF9"/>
    <w:rsid w:val="00392A19"/>
    <w:rsid w:val="003A752D"/>
    <w:rsid w:val="003B50D3"/>
    <w:rsid w:val="003C6313"/>
    <w:rsid w:val="003D442F"/>
    <w:rsid w:val="003E2077"/>
    <w:rsid w:val="0040327E"/>
    <w:rsid w:val="0040775E"/>
    <w:rsid w:val="004129DB"/>
    <w:rsid w:val="004273A0"/>
    <w:rsid w:val="004312DE"/>
    <w:rsid w:val="00433470"/>
    <w:rsid w:val="004420C9"/>
    <w:rsid w:val="004436CF"/>
    <w:rsid w:val="004449FB"/>
    <w:rsid w:val="00447F0A"/>
    <w:rsid w:val="004577F0"/>
    <w:rsid w:val="00462500"/>
    <w:rsid w:val="004712D7"/>
    <w:rsid w:val="00471BB5"/>
    <w:rsid w:val="00473AE6"/>
    <w:rsid w:val="00484818"/>
    <w:rsid w:val="00493AB3"/>
    <w:rsid w:val="004C3873"/>
    <w:rsid w:val="004C4FC2"/>
    <w:rsid w:val="004C613A"/>
    <w:rsid w:val="004C6DE1"/>
    <w:rsid w:val="004D3FA1"/>
    <w:rsid w:val="004E375C"/>
    <w:rsid w:val="004F47CC"/>
    <w:rsid w:val="004F76E7"/>
    <w:rsid w:val="00505B86"/>
    <w:rsid w:val="00510F15"/>
    <w:rsid w:val="005149C4"/>
    <w:rsid w:val="005162BA"/>
    <w:rsid w:val="00516E34"/>
    <w:rsid w:val="00525F2A"/>
    <w:rsid w:val="00526C56"/>
    <w:rsid w:val="00535095"/>
    <w:rsid w:val="0053573E"/>
    <w:rsid w:val="00544606"/>
    <w:rsid w:val="00545453"/>
    <w:rsid w:val="005460C3"/>
    <w:rsid w:val="005513DC"/>
    <w:rsid w:val="00556916"/>
    <w:rsid w:val="00570C5F"/>
    <w:rsid w:val="005720CD"/>
    <w:rsid w:val="005829AD"/>
    <w:rsid w:val="00583A54"/>
    <w:rsid w:val="005B02E7"/>
    <w:rsid w:val="005B22A3"/>
    <w:rsid w:val="005C31EB"/>
    <w:rsid w:val="005C3EFB"/>
    <w:rsid w:val="005C438E"/>
    <w:rsid w:val="005D2B75"/>
    <w:rsid w:val="005E0C5B"/>
    <w:rsid w:val="005E0DF8"/>
    <w:rsid w:val="006031D6"/>
    <w:rsid w:val="006035B2"/>
    <w:rsid w:val="006062DF"/>
    <w:rsid w:val="00625A38"/>
    <w:rsid w:val="0062715E"/>
    <w:rsid w:val="00631AFB"/>
    <w:rsid w:val="00644E2A"/>
    <w:rsid w:val="00646E6B"/>
    <w:rsid w:val="00664E84"/>
    <w:rsid w:val="0068079D"/>
    <w:rsid w:val="0068308B"/>
    <w:rsid w:val="00683333"/>
    <w:rsid w:val="00686FB6"/>
    <w:rsid w:val="00690CB2"/>
    <w:rsid w:val="006A03E2"/>
    <w:rsid w:val="006A6222"/>
    <w:rsid w:val="006B3716"/>
    <w:rsid w:val="006B4489"/>
    <w:rsid w:val="006C5D15"/>
    <w:rsid w:val="006C6268"/>
    <w:rsid w:val="006E5948"/>
    <w:rsid w:val="006E5976"/>
    <w:rsid w:val="006E7B67"/>
    <w:rsid w:val="006E7F5B"/>
    <w:rsid w:val="006F47DF"/>
    <w:rsid w:val="007063A3"/>
    <w:rsid w:val="0072255D"/>
    <w:rsid w:val="0072591C"/>
    <w:rsid w:val="00734D6C"/>
    <w:rsid w:val="00734FE5"/>
    <w:rsid w:val="00742F21"/>
    <w:rsid w:val="00743C64"/>
    <w:rsid w:val="007458B6"/>
    <w:rsid w:val="007572C1"/>
    <w:rsid w:val="00757558"/>
    <w:rsid w:val="00760E82"/>
    <w:rsid w:val="00764266"/>
    <w:rsid w:val="00766C8E"/>
    <w:rsid w:val="007706AC"/>
    <w:rsid w:val="007738E5"/>
    <w:rsid w:val="00773A54"/>
    <w:rsid w:val="00774CF4"/>
    <w:rsid w:val="0077530B"/>
    <w:rsid w:val="00783BDF"/>
    <w:rsid w:val="00787E3E"/>
    <w:rsid w:val="0079134B"/>
    <w:rsid w:val="007B178D"/>
    <w:rsid w:val="007C2107"/>
    <w:rsid w:val="007C5219"/>
    <w:rsid w:val="007C53AA"/>
    <w:rsid w:val="007D2C89"/>
    <w:rsid w:val="007D459D"/>
    <w:rsid w:val="007E2C8A"/>
    <w:rsid w:val="007E4D7D"/>
    <w:rsid w:val="008009D7"/>
    <w:rsid w:val="0080111E"/>
    <w:rsid w:val="0081270C"/>
    <w:rsid w:val="00814C48"/>
    <w:rsid w:val="00833484"/>
    <w:rsid w:val="00842661"/>
    <w:rsid w:val="00845FC8"/>
    <w:rsid w:val="00873E43"/>
    <w:rsid w:val="008754B9"/>
    <w:rsid w:val="00875861"/>
    <w:rsid w:val="0087723F"/>
    <w:rsid w:val="00881AB9"/>
    <w:rsid w:val="0088599C"/>
    <w:rsid w:val="0089645D"/>
    <w:rsid w:val="008A3432"/>
    <w:rsid w:val="008A6EEB"/>
    <w:rsid w:val="008B47AA"/>
    <w:rsid w:val="008B5D74"/>
    <w:rsid w:val="008C757B"/>
    <w:rsid w:val="008D2E7C"/>
    <w:rsid w:val="008D43C8"/>
    <w:rsid w:val="008E1498"/>
    <w:rsid w:val="008F263D"/>
    <w:rsid w:val="00903B5B"/>
    <w:rsid w:val="00923F97"/>
    <w:rsid w:val="009400D9"/>
    <w:rsid w:val="009430B3"/>
    <w:rsid w:val="00944073"/>
    <w:rsid w:val="00946F5B"/>
    <w:rsid w:val="00966EE4"/>
    <w:rsid w:val="00996897"/>
    <w:rsid w:val="009B07B6"/>
    <w:rsid w:val="009B70CE"/>
    <w:rsid w:val="009D0FCD"/>
    <w:rsid w:val="009D1FB3"/>
    <w:rsid w:val="009D2A6E"/>
    <w:rsid w:val="009F0600"/>
    <w:rsid w:val="00A171FA"/>
    <w:rsid w:val="00A2282A"/>
    <w:rsid w:val="00A30F08"/>
    <w:rsid w:val="00A33D34"/>
    <w:rsid w:val="00A41BC8"/>
    <w:rsid w:val="00A45A75"/>
    <w:rsid w:val="00A607C8"/>
    <w:rsid w:val="00A66EE8"/>
    <w:rsid w:val="00A86915"/>
    <w:rsid w:val="00A91CD9"/>
    <w:rsid w:val="00A9235D"/>
    <w:rsid w:val="00AA39C9"/>
    <w:rsid w:val="00AB1C99"/>
    <w:rsid w:val="00AB2F8A"/>
    <w:rsid w:val="00AC2292"/>
    <w:rsid w:val="00AC6EBA"/>
    <w:rsid w:val="00AC7316"/>
    <w:rsid w:val="00AC753C"/>
    <w:rsid w:val="00AC7BA6"/>
    <w:rsid w:val="00B01A57"/>
    <w:rsid w:val="00B13602"/>
    <w:rsid w:val="00B15A23"/>
    <w:rsid w:val="00B24DC8"/>
    <w:rsid w:val="00B25BA9"/>
    <w:rsid w:val="00B260EC"/>
    <w:rsid w:val="00B33742"/>
    <w:rsid w:val="00B364FC"/>
    <w:rsid w:val="00B4248C"/>
    <w:rsid w:val="00B45729"/>
    <w:rsid w:val="00B57FE7"/>
    <w:rsid w:val="00B711F4"/>
    <w:rsid w:val="00B87335"/>
    <w:rsid w:val="00B877E6"/>
    <w:rsid w:val="00B92F4F"/>
    <w:rsid w:val="00BB2837"/>
    <w:rsid w:val="00BB536E"/>
    <w:rsid w:val="00BC0692"/>
    <w:rsid w:val="00BC1B87"/>
    <w:rsid w:val="00BC7A30"/>
    <w:rsid w:val="00BD4CF8"/>
    <w:rsid w:val="00BE0C95"/>
    <w:rsid w:val="00BF6093"/>
    <w:rsid w:val="00C13EB3"/>
    <w:rsid w:val="00C2507A"/>
    <w:rsid w:val="00C453AC"/>
    <w:rsid w:val="00C56ED8"/>
    <w:rsid w:val="00C72A6F"/>
    <w:rsid w:val="00C731F0"/>
    <w:rsid w:val="00C803DD"/>
    <w:rsid w:val="00C850FE"/>
    <w:rsid w:val="00C902D1"/>
    <w:rsid w:val="00C912C2"/>
    <w:rsid w:val="00C96090"/>
    <w:rsid w:val="00CA2A74"/>
    <w:rsid w:val="00CA2DF4"/>
    <w:rsid w:val="00CC2091"/>
    <w:rsid w:val="00CC5AA7"/>
    <w:rsid w:val="00CC5D25"/>
    <w:rsid w:val="00CC5E5C"/>
    <w:rsid w:val="00CC792B"/>
    <w:rsid w:val="00CD5166"/>
    <w:rsid w:val="00D01E51"/>
    <w:rsid w:val="00D038EF"/>
    <w:rsid w:val="00D12CD3"/>
    <w:rsid w:val="00D12DF3"/>
    <w:rsid w:val="00D132FB"/>
    <w:rsid w:val="00D14522"/>
    <w:rsid w:val="00D14536"/>
    <w:rsid w:val="00D14E56"/>
    <w:rsid w:val="00D15D46"/>
    <w:rsid w:val="00D2485A"/>
    <w:rsid w:val="00D26E2D"/>
    <w:rsid w:val="00D45F20"/>
    <w:rsid w:val="00D515B9"/>
    <w:rsid w:val="00D76A47"/>
    <w:rsid w:val="00D804D5"/>
    <w:rsid w:val="00D95B84"/>
    <w:rsid w:val="00DA4C3F"/>
    <w:rsid w:val="00DC4AFB"/>
    <w:rsid w:val="00DC5073"/>
    <w:rsid w:val="00DC50DE"/>
    <w:rsid w:val="00DF310A"/>
    <w:rsid w:val="00DF5AC4"/>
    <w:rsid w:val="00DF5F30"/>
    <w:rsid w:val="00DF7767"/>
    <w:rsid w:val="00E11666"/>
    <w:rsid w:val="00E1639E"/>
    <w:rsid w:val="00E32810"/>
    <w:rsid w:val="00E3478A"/>
    <w:rsid w:val="00E415D2"/>
    <w:rsid w:val="00E46ED7"/>
    <w:rsid w:val="00E64ED4"/>
    <w:rsid w:val="00E70F3C"/>
    <w:rsid w:val="00E714E6"/>
    <w:rsid w:val="00E73854"/>
    <w:rsid w:val="00E81FF5"/>
    <w:rsid w:val="00E84B44"/>
    <w:rsid w:val="00E93A50"/>
    <w:rsid w:val="00E942A5"/>
    <w:rsid w:val="00E979AA"/>
    <w:rsid w:val="00EA30F4"/>
    <w:rsid w:val="00EA6535"/>
    <w:rsid w:val="00EB2E04"/>
    <w:rsid w:val="00EB4F84"/>
    <w:rsid w:val="00EB6A7F"/>
    <w:rsid w:val="00EC7EFE"/>
    <w:rsid w:val="00ED1E68"/>
    <w:rsid w:val="00EE06E5"/>
    <w:rsid w:val="00EE7671"/>
    <w:rsid w:val="00EF1DDC"/>
    <w:rsid w:val="00EF30F8"/>
    <w:rsid w:val="00F0645B"/>
    <w:rsid w:val="00F13E0E"/>
    <w:rsid w:val="00F16472"/>
    <w:rsid w:val="00F234C3"/>
    <w:rsid w:val="00F26F95"/>
    <w:rsid w:val="00F3044B"/>
    <w:rsid w:val="00F354D8"/>
    <w:rsid w:val="00F437D8"/>
    <w:rsid w:val="00F43B50"/>
    <w:rsid w:val="00F51FD3"/>
    <w:rsid w:val="00F533C8"/>
    <w:rsid w:val="00F5563B"/>
    <w:rsid w:val="00F60A2B"/>
    <w:rsid w:val="00F61C91"/>
    <w:rsid w:val="00F70F22"/>
    <w:rsid w:val="00F71766"/>
    <w:rsid w:val="00F717F2"/>
    <w:rsid w:val="00F74A33"/>
    <w:rsid w:val="00F833EE"/>
    <w:rsid w:val="00FA165A"/>
    <w:rsid w:val="00FA6D17"/>
    <w:rsid w:val="00FB2B42"/>
    <w:rsid w:val="00FB44FF"/>
    <w:rsid w:val="00FE5D52"/>
    <w:rsid w:val="00FF0F43"/>
    <w:rsid w:val="00FF4C1C"/>
    <w:rsid w:val="3BDDBE98"/>
    <w:rsid w:val="704AE096"/>
    <w:rsid w:val="70F7F5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FC8A3"/>
  <w15:docId w15:val="{C14046B0-A54B-4179-9F2D-51C8EC1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436CF"/>
    <w:pPr>
      <w:jc w:val="both"/>
    </w:pPr>
    <w:rPr>
      <w:rFonts w:ascii="Arial" w:hAnsi="Arial"/>
      <w:sz w:val="24"/>
      <w:lang w:eastAsia="en-US"/>
    </w:rPr>
  </w:style>
  <w:style w:type="paragraph" w:styleId="Heading1">
    <w:name w:val="heading 1"/>
    <w:basedOn w:val="Normal"/>
    <w:next w:val="Normal"/>
    <w:link w:val="Heading1Char"/>
    <w:qFormat/>
    <w:locked/>
    <w:rsid w:val="004312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6A62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182DD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Arial" w:hAnsi="Arial" w:cs="Times New Roman"/>
      <w:sz w:val="24"/>
    </w:rPr>
  </w:style>
  <w:style w:type="paragraph" w:styleId="Footer">
    <w:name w:val="footer"/>
    <w:basedOn w:val="Normal"/>
    <w:link w:val="FooterChar"/>
    <w:uiPriority w:val="99"/>
    <w:semiHidden/>
    <w:rsid w:val="00FE5D52"/>
    <w:pPr>
      <w:tabs>
        <w:tab w:val="center" w:pos="4513"/>
        <w:tab w:val="right" w:pos="9026"/>
      </w:tabs>
    </w:pPr>
  </w:style>
  <w:style w:type="character" w:customStyle="1" w:styleId="FooterChar">
    <w:name w:val="Footer Char"/>
    <w:basedOn w:val="DefaultParagraphFont"/>
    <w:link w:val="Footer"/>
    <w:uiPriority w:val="99"/>
    <w:semiHidden/>
    <w:locked/>
    <w:rsid w:val="00FE5D52"/>
    <w:rPr>
      <w:rFonts w:ascii="Arial" w:hAnsi="Arial" w:cs="Times New Roman"/>
      <w:sz w:val="24"/>
    </w:rPr>
  </w:style>
  <w:style w:type="table" w:styleId="TableGrid">
    <w:name w:val="Table Grid"/>
    <w:basedOn w:val="TableNormal"/>
    <w:uiPriority w:val="9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sz w:val="16"/>
      <w:szCs w:val="16"/>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Arial" w:hAnsi="Arial" w:cs="Times New Roman"/>
      <w:sz w:val="20"/>
      <w:szCs w:val="20"/>
    </w:rPr>
  </w:style>
  <w:style w:type="paragraph" w:styleId="BodyTextIndent">
    <w:name w:val="Body Text Indent"/>
    <w:basedOn w:val="Normal"/>
    <w:link w:val="BodyTextIndentChar"/>
    <w:uiPriority w:val="99"/>
    <w:semiHidden/>
    <w:rsid w:val="00FB2B42"/>
    <w:pPr>
      <w:spacing w:after="120"/>
      <w:ind w:left="283"/>
    </w:pPr>
  </w:style>
  <w:style w:type="character" w:customStyle="1" w:styleId="BodyTextIndentChar">
    <w:name w:val="Body Text Indent Char"/>
    <w:basedOn w:val="DefaultParagraphFont"/>
    <w:link w:val="BodyTextIndent"/>
    <w:uiPriority w:val="99"/>
    <w:semiHidden/>
    <w:locked/>
    <w:rsid w:val="00FB2B42"/>
    <w:rPr>
      <w:rFonts w:ascii="Arial" w:hAnsi="Arial" w:cs="Times New Roman"/>
      <w:sz w:val="24"/>
    </w:rPr>
  </w:style>
  <w:style w:type="paragraph" w:styleId="ListParagraph">
    <w:name w:val="List Paragraph"/>
    <w:basedOn w:val="Normal"/>
    <w:uiPriority w:val="34"/>
    <w:qFormat/>
    <w:rsid w:val="007572C1"/>
    <w:pPr>
      <w:ind w:left="720"/>
      <w:contextualSpacing/>
    </w:pPr>
  </w:style>
  <w:style w:type="character" w:customStyle="1" w:styleId="Heading6Char">
    <w:name w:val="Heading 6 Char"/>
    <w:basedOn w:val="DefaultParagraphFont"/>
    <w:link w:val="Heading6"/>
    <w:uiPriority w:val="9"/>
    <w:rsid w:val="00BB2837"/>
    <w:rPr>
      <w:rFonts w:eastAsia="Times New Roman"/>
      <w:b/>
      <w:bCs/>
      <w:lang w:eastAsia="en-US"/>
    </w:rPr>
  </w:style>
  <w:style w:type="character" w:customStyle="1" w:styleId="Heading2Char">
    <w:name w:val="Heading 2 Char"/>
    <w:basedOn w:val="DefaultParagraphFont"/>
    <w:link w:val="Heading2"/>
    <w:semiHidden/>
    <w:rsid w:val="006A6222"/>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rsid w:val="004312DE"/>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182DDA"/>
    <w:rPr>
      <w:rFonts w:asciiTheme="majorHAnsi" w:eastAsiaTheme="majorEastAsia" w:hAnsiTheme="majorHAnsi" w:cstheme="majorBidi"/>
      <w:color w:val="243F60" w:themeColor="accent1" w:themeShade="7F"/>
      <w:sz w:val="24"/>
      <w:szCs w:val="24"/>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432"/>
    <w:rPr>
      <w:b/>
      <w:bCs/>
    </w:rPr>
  </w:style>
  <w:style w:type="character" w:customStyle="1" w:styleId="CommentSubjectChar">
    <w:name w:val="Comment Subject Char"/>
    <w:basedOn w:val="CommentTextChar"/>
    <w:link w:val="CommentSubject"/>
    <w:uiPriority w:val="99"/>
    <w:semiHidden/>
    <w:rsid w:val="008A3432"/>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 w:id="15536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10-EFC5-428F-BF35-24AA013BCBCB}"/>
</file>

<file path=customXml/itemProps2.xml><?xml version="1.0" encoding="utf-8"?>
<ds:datastoreItem xmlns:ds="http://schemas.openxmlformats.org/officeDocument/2006/customXml" ds:itemID="{DC3F0ABE-8282-4CBF-833D-FB4AE68BBEAE}">
  <ds:schemaRefs>
    <ds:schemaRef ds:uri="http://schemas.microsoft.com/sharepoint/v3/contenttype/forms"/>
  </ds:schemaRefs>
</ds:datastoreItem>
</file>

<file path=customXml/itemProps3.xml><?xml version="1.0" encoding="utf-8"?>
<ds:datastoreItem xmlns:ds="http://schemas.openxmlformats.org/officeDocument/2006/customXml" ds:itemID="{C73C1FB3-DF26-42F6-9D93-4FB0E9E590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3A8C3-17E9-4B06-A872-FE39E577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5386</Characters>
  <Application>Microsoft Office Word</Application>
  <DocSecurity>0</DocSecurity>
  <Lines>44</Lines>
  <Paragraphs>12</Paragraphs>
  <ScaleCrop>false</ScaleCrop>
  <Company>RM plc</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creator>elaine kyle;Melanie Morris</dc:creator>
  <cp:lastModifiedBy>Jillian Woolmer</cp:lastModifiedBy>
  <cp:revision>2</cp:revision>
  <cp:lastPrinted>2025-05-14T17:29:00Z</cp:lastPrinted>
  <dcterms:created xsi:type="dcterms:W3CDTF">2026-04-27T08:41:00Z</dcterms:created>
  <dcterms:modified xsi:type="dcterms:W3CDTF">2026-04-27T08:41:00Z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8f305c5a-4457-4f3a-887b-1c2e194ceb20</vt:lpwstr>
  </property>
  <property fmtid="{D5CDD505-2E9C-101B-9397-08002B2CF9AE}" pid="3" name="ContentTypeId">
    <vt:lpwstr>0x0101000C0A06F1FF66C34B86CE8B9B42E01DD4</vt:lpwstr>
  </property>
  <property fmtid="{D5CDD505-2E9C-101B-9397-08002B2CF9AE}" pid="5" name="_NewReviewCycle">
    <vt:lpwstr/>
  </property>
  <property fmtid="{D5CDD505-2E9C-101B-9397-08002B2CF9AE}" pid="10" name="Order">
    <vt:r8>1966800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y fmtid="{D5CDD505-2E9C-101B-9397-08002B2CF9AE}" pid="19" name="docLang">
    <vt:lpwstr>en</vt:lpwstr>
  </property>
</Properties>
</file>