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EFB14" w14:textId="77777777" w:rsidR="001D4014" w:rsidRPr="004F76E7" w:rsidRDefault="00525F2A" w:rsidP="001D4014">
      <w:pPr>
        <w:pStyle w:val="NoSpacing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POLICY:  </w:t>
      </w:r>
      <w:r w:rsidR="002B26F6">
        <w:rPr>
          <w:rFonts w:ascii="Verdana" w:hAnsi="Verdana"/>
          <w:sz w:val="20"/>
          <w:szCs w:val="20"/>
        </w:rPr>
        <w:t>Curriculum</w:t>
      </w:r>
      <w:r w:rsidR="004C613A" w:rsidRPr="00525F2A">
        <w:rPr>
          <w:rFonts w:ascii="Verdana" w:hAnsi="Verdana"/>
          <w:sz w:val="20"/>
          <w:szCs w:val="20"/>
        </w:rPr>
        <w:t xml:space="preserve"> Policy</w:t>
      </w:r>
    </w:p>
    <w:p w14:paraId="01A2DDC6" w14:textId="77777777" w:rsidR="001D4014" w:rsidRPr="004F76E7" w:rsidRDefault="001D4014" w:rsidP="001D4014">
      <w:pPr>
        <w:pStyle w:val="NoSpacing"/>
        <w:rPr>
          <w:rFonts w:ascii="Verdana" w:hAnsi="Verdana"/>
          <w:sz w:val="20"/>
          <w:szCs w:val="20"/>
        </w:rPr>
      </w:pPr>
    </w:p>
    <w:p w14:paraId="6022AE8C" w14:textId="77777777" w:rsidR="00B13602" w:rsidRPr="004F76E7" w:rsidRDefault="00966EE4" w:rsidP="00525F2A">
      <w:pPr>
        <w:rPr>
          <w:rFonts w:ascii="Verdana" w:hAnsi="Verdana"/>
          <w:sz w:val="20"/>
          <w:szCs w:val="20"/>
        </w:rPr>
      </w:pPr>
      <w:r w:rsidRPr="004F76E7">
        <w:rPr>
          <w:rFonts w:ascii="Verdana" w:hAnsi="Verdana"/>
          <w:b/>
          <w:sz w:val="20"/>
          <w:szCs w:val="20"/>
        </w:rPr>
        <w:t>PURPOSE:</w:t>
      </w:r>
      <w:r w:rsidR="006A6222" w:rsidRPr="004F76E7">
        <w:rPr>
          <w:rFonts w:ascii="Verdana" w:hAnsi="Verdana" w:cs="Arial"/>
          <w:sz w:val="20"/>
          <w:szCs w:val="20"/>
        </w:rPr>
        <w:t xml:space="preserve"> </w:t>
      </w:r>
      <w:r w:rsidR="004F76E7" w:rsidRPr="004F76E7">
        <w:rPr>
          <w:rFonts w:ascii="Verdana" w:hAnsi="Verdana" w:cs="Arial"/>
          <w:sz w:val="20"/>
          <w:szCs w:val="20"/>
        </w:rPr>
        <w:t xml:space="preserve">This procedure explains how </w:t>
      </w:r>
      <w:r w:rsidR="002B26F6">
        <w:rPr>
          <w:rFonts w:ascii="Verdana" w:hAnsi="Verdana" w:cs="Arial"/>
          <w:sz w:val="20"/>
          <w:szCs w:val="20"/>
        </w:rPr>
        <w:t xml:space="preserve">students on Higher Education programmes </w:t>
      </w:r>
      <w:r w:rsidR="002A58D6">
        <w:rPr>
          <w:rFonts w:ascii="Verdana" w:hAnsi="Verdana" w:cs="Arial"/>
          <w:sz w:val="20"/>
          <w:szCs w:val="20"/>
        </w:rPr>
        <w:t>can appeal against the grades awarded at Assessment and Award Boards</w:t>
      </w:r>
      <w:r w:rsidR="00230D0F">
        <w:rPr>
          <w:rFonts w:ascii="Verdana" w:hAnsi="Verdana" w:cs="Arial"/>
          <w:sz w:val="20"/>
          <w:szCs w:val="20"/>
        </w:rPr>
        <w:t>.</w:t>
      </w:r>
      <w:r w:rsidR="00047493">
        <w:rPr>
          <w:rFonts w:ascii="Verdana" w:hAnsi="Verdana" w:cs="Arial"/>
          <w:sz w:val="20"/>
          <w:szCs w:val="20"/>
        </w:rPr>
        <w:t xml:space="preserve">  The Staffordshire University Appeals Procedure applies to all qualifications awarded by the University.</w:t>
      </w:r>
    </w:p>
    <w:p w14:paraId="2D8F24DA" w14:textId="77777777" w:rsidR="004F76E7" w:rsidRPr="004F76E7" w:rsidRDefault="004F76E7" w:rsidP="002A6CDF">
      <w:pPr>
        <w:pStyle w:val="NoSpacing"/>
        <w:rPr>
          <w:rFonts w:ascii="Verdana" w:hAnsi="Verdana"/>
          <w:b/>
          <w:sz w:val="20"/>
          <w:szCs w:val="20"/>
        </w:rPr>
      </w:pPr>
    </w:p>
    <w:p w14:paraId="67858507" w14:textId="77777777" w:rsidR="006A6222" w:rsidRPr="004F76E7" w:rsidRDefault="00966EE4" w:rsidP="00D2485A">
      <w:pPr>
        <w:pStyle w:val="NoSpacing"/>
        <w:rPr>
          <w:rFonts w:ascii="Verdana" w:hAnsi="Verdana"/>
          <w:b/>
          <w:sz w:val="20"/>
          <w:szCs w:val="20"/>
        </w:rPr>
      </w:pPr>
      <w:r w:rsidRPr="004F76E7">
        <w:rPr>
          <w:rFonts w:ascii="Verdana" w:hAnsi="Verdana"/>
          <w:b/>
          <w:sz w:val="20"/>
          <w:szCs w:val="20"/>
        </w:rPr>
        <w:t xml:space="preserve">SCOPE: </w:t>
      </w:r>
      <w:r w:rsidR="00B364FC">
        <w:rPr>
          <w:rFonts w:ascii="Verdana" w:hAnsi="Verdana" w:cs="Arial"/>
          <w:sz w:val="20"/>
          <w:szCs w:val="20"/>
        </w:rPr>
        <w:t>This procedure a</w:t>
      </w:r>
      <w:r w:rsidR="004F76E7" w:rsidRPr="004F76E7">
        <w:rPr>
          <w:rFonts w:ascii="Verdana" w:hAnsi="Verdana" w:cs="Arial"/>
          <w:sz w:val="20"/>
          <w:szCs w:val="20"/>
        </w:rPr>
        <w:t xml:space="preserve">pplies to all College </w:t>
      </w:r>
      <w:r w:rsidR="002A58D6">
        <w:rPr>
          <w:rFonts w:ascii="Verdana" w:hAnsi="Verdana" w:cs="Arial"/>
          <w:sz w:val="20"/>
          <w:szCs w:val="20"/>
        </w:rPr>
        <w:t xml:space="preserve">Higher Education </w:t>
      </w:r>
      <w:r w:rsidR="004F76E7" w:rsidRPr="004F76E7">
        <w:rPr>
          <w:rFonts w:ascii="Verdana" w:hAnsi="Verdana" w:cs="Arial"/>
          <w:sz w:val="20"/>
          <w:szCs w:val="20"/>
        </w:rPr>
        <w:t>programmes</w:t>
      </w:r>
      <w:r w:rsidR="00971CEF">
        <w:rPr>
          <w:rFonts w:ascii="Verdana" w:hAnsi="Verdana" w:cs="Arial"/>
          <w:sz w:val="20"/>
          <w:szCs w:val="20"/>
        </w:rPr>
        <w:t xml:space="preserve"> that are not validated</w:t>
      </w:r>
      <w:r w:rsidR="002A58D6">
        <w:rPr>
          <w:rFonts w:ascii="Verdana" w:hAnsi="Verdana" w:cs="Arial"/>
          <w:sz w:val="20"/>
          <w:szCs w:val="20"/>
        </w:rPr>
        <w:t xml:space="preserve"> by Staffordshire University</w:t>
      </w:r>
      <w:r w:rsidR="00230D0F">
        <w:rPr>
          <w:rFonts w:ascii="Verdana" w:hAnsi="Verdana" w:cs="Arial"/>
          <w:sz w:val="20"/>
          <w:szCs w:val="20"/>
        </w:rPr>
        <w:t>.</w:t>
      </w:r>
    </w:p>
    <w:p w14:paraId="084D427A" w14:textId="77777777" w:rsidR="004F76E7" w:rsidRPr="004F76E7" w:rsidRDefault="004F76E7" w:rsidP="00D2485A">
      <w:pPr>
        <w:pStyle w:val="NoSpacing"/>
        <w:rPr>
          <w:rFonts w:ascii="Verdana" w:hAnsi="Verdana"/>
          <w:b/>
          <w:sz w:val="20"/>
          <w:szCs w:val="20"/>
        </w:rPr>
      </w:pPr>
    </w:p>
    <w:p w14:paraId="16FBE923" w14:textId="77777777" w:rsidR="00D2485A" w:rsidRPr="004F76E7" w:rsidRDefault="00D2485A" w:rsidP="00D2485A">
      <w:pPr>
        <w:pStyle w:val="NoSpacing"/>
        <w:rPr>
          <w:rFonts w:ascii="Verdana" w:hAnsi="Verdana"/>
          <w:b/>
          <w:sz w:val="20"/>
          <w:szCs w:val="20"/>
        </w:rPr>
      </w:pPr>
      <w:r w:rsidRPr="004F76E7">
        <w:rPr>
          <w:rFonts w:ascii="Verdana" w:hAnsi="Verdana"/>
          <w:b/>
          <w:sz w:val="20"/>
          <w:szCs w:val="20"/>
        </w:rPr>
        <w:t>PROCEDURE:</w:t>
      </w:r>
    </w:p>
    <w:p w14:paraId="592B9AA3" w14:textId="77777777" w:rsidR="00A91CD9" w:rsidRDefault="00A91CD9" w:rsidP="00D2485A">
      <w:pPr>
        <w:pStyle w:val="NoSpacing"/>
        <w:rPr>
          <w:rFonts w:ascii="Verdana" w:hAnsi="Verdana"/>
          <w:b/>
          <w:sz w:val="20"/>
          <w:szCs w:val="20"/>
        </w:rPr>
      </w:pPr>
    </w:p>
    <w:p w14:paraId="78D83E85" w14:textId="4A67E900" w:rsidR="00C0062B" w:rsidRDefault="00C0062B" w:rsidP="00C0062B">
      <w:pPr>
        <w:pStyle w:val="NoSpacing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All assessments will be conducted fairly and in accordance w</w:t>
      </w:r>
      <w:r w:rsidR="008E3CD5">
        <w:rPr>
          <w:rFonts w:ascii="Verdana" w:hAnsi="Verdana"/>
          <w:sz w:val="20"/>
        </w:rPr>
        <w:t>ith the requirements of Pearson</w:t>
      </w:r>
      <w:r>
        <w:rPr>
          <w:rFonts w:ascii="Verdana" w:hAnsi="Verdana"/>
          <w:sz w:val="20"/>
        </w:rPr>
        <w:t>.  However, the College recognises that there may be circumstances in which students may wish to appeal against the decision of the Assessment/Award Boards.  The procedures below are designed to ensure that such appeals are dealt with in a fair and consistent way.  You should be sure that this is an appeal relating to assessment decisions and not a complaint relating to programme delivery</w:t>
      </w:r>
      <w:r w:rsidR="008771D5">
        <w:rPr>
          <w:rFonts w:ascii="Verdana" w:hAnsi="Verdana"/>
          <w:sz w:val="20"/>
        </w:rPr>
        <w:t xml:space="preserve"> or student experience</w:t>
      </w:r>
      <w:r>
        <w:rPr>
          <w:rFonts w:ascii="Verdana" w:hAnsi="Verdana"/>
          <w:sz w:val="20"/>
        </w:rPr>
        <w:t xml:space="preserve">.  Complaints are dealt with through the Compliments/Complaints system.  However, if as a result of a complaint being upheld it is deemed that assessment judgements would have been impacted, a referral can be made to the </w:t>
      </w:r>
      <w:r w:rsidR="00034569">
        <w:rPr>
          <w:rFonts w:ascii="Verdana" w:hAnsi="Verdana"/>
          <w:sz w:val="20"/>
        </w:rPr>
        <w:t>Director of</w:t>
      </w:r>
      <w:r>
        <w:rPr>
          <w:rFonts w:ascii="Verdana" w:hAnsi="Verdana"/>
          <w:sz w:val="20"/>
        </w:rPr>
        <w:t xml:space="preserve"> Quality</w:t>
      </w:r>
      <w:r w:rsidR="00282A90">
        <w:rPr>
          <w:rFonts w:ascii="Verdana" w:hAnsi="Verdana"/>
          <w:sz w:val="20"/>
        </w:rPr>
        <w:t xml:space="preserve"> &amp; HE</w:t>
      </w:r>
      <w:r>
        <w:rPr>
          <w:rFonts w:ascii="Verdana" w:hAnsi="Verdana"/>
          <w:sz w:val="20"/>
        </w:rPr>
        <w:t xml:space="preserve"> for the Assessment or Award Board to be reconvened.</w:t>
      </w:r>
    </w:p>
    <w:p w14:paraId="1AE37652" w14:textId="77777777" w:rsidR="00842661" w:rsidRPr="00842661" w:rsidRDefault="00842661" w:rsidP="00842661">
      <w:pPr>
        <w:pStyle w:val="ListParagraph"/>
        <w:tabs>
          <w:tab w:val="left" w:pos="-1418"/>
        </w:tabs>
        <w:ind w:left="1134" w:right="34"/>
        <w:rPr>
          <w:rFonts w:ascii="Verdana" w:hAnsi="Verdana" w:cs="Arial"/>
          <w:sz w:val="20"/>
          <w:szCs w:val="20"/>
        </w:rPr>
      </w:pPr>
    </w:p>
    <w:p w14:paraId="233EE0F6" w14:textId="77777777" w:rsidR="00DF5F30" w:rsidRPr="004F76E7" w:rsidRDefault="004F76E7" w:rsidP="00384EF9">
      <w:pPr>
        <w:pStyle w:val="ListParagraph"/>
        <w:numPr>
          <w:ilvl w:val="0"/>
          <w:numId w:val="1"/>
        </w:numPr>
        <w:tabs>
          <w:tab w:val="left" w:pos="-1418"/>
        </w:tabs>
        <w:ind w:left="1134" w:right="34" w:hanging="1134"/>
        <w:rPr>
          <w:rFonts w:ascii="Verdana" w:hAnsi="Verdana" w:cs="Arial"/>
          <w:sz w:val="20"/>
          <w:szCs w:val="20"/>
        </w:rPr>
      </w:pPr>
      <w:r w:rsidRPr="004F76E7">
        <w:rPr>
          <w:rFonts w:ascii="Verdana" w:hAnsi="Verdana" w:cs="Arial"/>
          <w:b/>
          <w:bCs/>
          <w:sz w:val="20"/>
          <w:szCs w:val="20"/>
        </w:rPr>
        <w:t>Grounds for Appeal</w:t>
      </w:r>
    </w:p>
    <w:p w14:paraId="3E49078C" w14:textId="77777777" w:rsidR="00DF5F30" w:rsidRPr="004F76E7" w:rsidRDefault="00DF5F30" w:rsidP="00DF5F30">
      <w:pPr>
        <w:pStyle w:val="ListParagraph"/>
        <w:tabs>
          <w:tab w:val="left" w:pos="-1418"/>
        </w:tabs>
        <w:ind w:left="1134" w:right="34"/>
        <w:rPr>
          <w:rFonts w:ascii="Verdana" w:hAnsi="Verdana" w:cs="Arial"/>
          <w:sz w:val="20"/>
          <w:szCs w:val="20"/>
        </w:rPr>
      </w:pPr>
    </w:p>
    <w:p w14:paraId="12B358F5" w14:textId="77777777" w:rsidR="006427FE" w:rsidRPr="006427FE" w:rsidRDefault="002C7DC1" w:rsidP="00384EF9">
      <w:pPr>
        <w:pStyle w:val="ListParagraph"/>
        <w:numPr>
          <w:ilvl w:val="1"/>
          <w:numId w:val="1"/>
        </w:numPr>
        <w:tabs>
          <w:tab w:val="left" w:pos="-1418"/>
        </w:tabs>
        <w:ind w:left="1134" w:right="34" w:hanging="1134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An appeal against the decision of a properly convened and constituted Assessment/Award Board will only be considered if it meets one or both of the following</w:t>
      </w:r>
      <w:r w:rsidR="006427FE">
        <w:rPr>
          <w:rFonts w:ascii="Verdana" w:hAnsi="Verdana" w:cs="Arial"/>
          <w:bCs/>
          <w:sz w:val="20"/>
          <w:szCs w:val="20"/>
        </w:rPr>
        <w:t>:</w:t>
      </w:r>
    </w:p>
    <w:p w14:paraId="05687358" w14:textId="77777777" w:rsidR="004F76E7" w:rsidRPr="004F76E7" w:rsidRDefault="004F76E7" w:rsidP="004F76E7">
      <w:pPr>
        <w:pStyle w:val="ListParagraph"/>
        <w:tabs>
          <w:tab w:val="left" w:pos="-1418"/>
        </w:tabs>
        <w:ind w:left="1134" w:right="34"/>
        <w:rPr>
          <w:rFonts w:ascii="Verdana" w:hAnsi="Verdana" w:cs="Arial"/>
          <w:sz w:val="20"/>
          <w:szCs w:val="20"/>
        </w:rPr>
      </w:pPr>
    </w:p>
    <w:p w14:paraId="131D9D43" w14:textId="60D9FD62" w:rsidR="006427FE" w:rsidRDefault="006427FE" w:rsidP="00F1644A">
      <w:pPr>
        <w:numPr>
          <w:ilvl w:val="0"/>
          <w:numId w:val="3"/>
        </w:numPr>
        <w:tabs>
          <w:tab w:val="clear" w:pos="1332"/>
          <w:tab w:val="num" w:pos="1560"/>
        </w:tabs>
        <w:ind w:left="1560" w:hanging="426"/>
        <w:rPr>
          <w:rFonts w:ascii="Verdana" w:hAnsi="Verdana" w:cs="Arial"/>
          <w:bCs/>
          <w:sz w:val="20"/>
          <w:szCs w:val="20"/>
        </w:rPr>
      </w:pPr>
      <w:r w:rsidRPr="006427FE">
        <w:rPr>
          <w:rFonts w:ascii="Verdana" w:hAnsi="Verdana" w:cs="Arial"/>
          <w:bCs/>
          <w:sz w:val="20"/>
          <w:szCs w:val="20"/>
        </w:rPr>
        <w:t>There has been an error or irregularity in the conduct of assessment, e</w:t>
      </w:r>
      <w:r w:rsidR="000F7851">
        <w:rPr>
          <w:rFonts w:ascii="Verdana" w:hAnsi="Verdana" w:cs="Arial"/>
          <w:bCs/>
          <w:sz w:val="20"/>
          <w:szCs w:val="20"/>
        </w:rPr>
        <w:t>.</w:t>
      </w:r>
      <w:r w:rsidRPr="006427FE">
        <w:rPr>
          <w:rFonts w:ascii="Verdana" w:hAnsi="Verdana" w:cs="Arial"/>
          <w:bCs/>
          <w:sz w:val="20"/>
          <w:szCs w:val="20"/>
        </w:rPr>
        <w:t>g</w:t>
      </w:r>
      <w:r w:rsidR="000F7851">
        <w:rPr>
          <w:rFonts w:ascii="Verdana" w:hAnsi="Verdana" w:cs="Arial"/>
          <w:bCs/>
          <w:sz w:val="20"/>
          <w:szCs w:val="20"/>
        </w:rPr>
        <w:t>.,</w:t>
      </w:r>
      <w:r w:rsidRPr="006427FE">
        <w:rPr>
          <w:rFonts w:ascii="Verdana" w:hAnsi="Verdana" w:cs="Arial"/>
          <w:bCs/>
          <w:sz w:val="20"/>
          <w:szCs w:val="20"/>
        </w:rPr>
        <w:t xml:space="preserve"> the assessment was not cond</w:t>
      </w:r>
      <w:r w:rsidR="008771D5">
        <w:rPr>
          <w:rFonts w:ascii="Verdana" w:hAnsi="Verdana" w:cs="Arial"/>
          <w:bCs/>
          <w:sz w:val="20"/>
          <w:szCs w:val="20"/>
        </w:rPr>
        <w:t>ucted in accordance with Pearson</w:t>
      </w:r>
      <w:r w:rsidRPr="006427FE">
        <w:rPr>
          <w:rFonts w:ascii="Verdana" w:hAnsi="Verdana" w:cs="Arial"/>
          <w:bCs/>
          <w:sz w:val="20"/>
          <w:szCs w:val="20"/>
        </w:rPr>
        <w:t xml:space="preserve"> requirements</w:t>
      </w:r>
    </w:p>
    <w:p w14:paraId="7226BFD8" w14:textId="77777777" w:rsidR="004F76E7" w:rsidRDefault="00554A9A" w:rsidP="00F1644A">
      <w:pPr>
        <w:numPr>
          <w:ilvl w:val="0"/>
          <w:numId w:val="3"/>
        </w:numPr>
        <w:tabs>
          <w:tab w:val="clear" w:pos="1332"/>
          <w:tab w:val="num" w:pos="1560"/>
        </w:tabs>
        <w:ind w:left="1560" w:hanging="426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The student’s performance was seriously impacted by illness or other factors that could not be disclosed through the Extenuating Circumstances process.</w:t>
      </w:r>
      <w:r w:rsidR="00F1644A">
        <w:rPr>
          <w:rFonts w:ascii="Verdana" w:hAnsi="Verdana" w:cs="Arial"/>
          <w:bCs/>
          <w:sz w:val="20"/>
          <w:szCs w:val="20"/>
        </w:rPr>
        <w:t xml:space="preserve">  An appeal in these circumstances must be supported</w:t>
      </w:r>
      <w:r w:rsidR="00B91B66">
        <w:rPr>
          <w:rFonts w:ascii="Verdana" w:hAnsi="Verdana" w:cs="Arial"/>
          <w:bCs/>
          <w:sz w:val="20"/>
          <w:szCs w:val="20"/>
        </w:rPr>
        <w:t xml:space="preserve"> by full and original medical or</w:t>
      </w:r>
      <w:r w:rsidR="00F1644A">
        <w:rPr>
          <w:rFonts w:ascii="Verdana" w:hAnsi="Verdana" w:cs="Arial"/>
          <w:bCs/>
          <w:sz w:val="20"/>
          <w:szCs w:val="20"/>
        </w:rPr>
        <w:t xml:space="preserve"> other documentary evidence, together with a full explanation of why the information had not been communicated previously.</w:t>
      </w:r>
      <w:r w:rsidR="00B91B66">
        <w:rPr>
          <w:rFonts w:ascii="Verdana" w:hAnsi="Verdana" w:cs="Arial"/>
          <w:bCs/>
          <w:sz w:val="20"/>
          <w:szCs w:val="20"/>
        </w:rPr>
        <w:t xml:space="preserve">  Precise dates of the illness/other factors </w:t>
      </w:r>
      <w:r w:rsidR="00031D30">
        <w:rPr>
          <w:rFonts w:ascii="Verdana" w:hAnsi="Verdana" w:cs="Arial"/>
          <w:bCs/>
          <w:sz w:val="20"/>
          <w:szCs w:val="20"/>
        </w:rPr>
        <w:t xml:space="preserve">should be specified by the doctor or other independent person about the impact of these circumstances on the dates when </w:t>
      </w:r>
      <w:r w:rsidR="00387032">
        <w:rPr>
          <w:rFonts w:ascii="Verdana" w:hAnsi="Verdana" w:cs="Arial"/>
          <w:bCs/>
          <w:sz w:val="20"/>
          <w:szCs w:val="20"/>
        </w:rPr>
        <w:t>the assessment was in progress.  Any costs relating to the preparation of this information will need to be met by the student.</w:t>
      </w:r>
    </w:p>
    <w:p w14:paraId="539ABDA0" w14:textId="77777777" w:rsidR="00554A9A" w:rsidRPr="00554A9A" w:rsidRDefault="00554A9A" w:rsidP="00554A9A">
      <w:pPr>
        <w:pStyle w:val="NoSpacing"/>
      </w:pPr>
    </w:p>
    <w:p w14:paraId="72697C36" w14:textId="77777777" w:rsidR="005B2852" w:rsidRDefault="005B2852" w:rsidP="005B2852">
      <w:pPr>
        <w:pStyle w:val="ListParagraph"/>
        <w:numPr>
          <w:ilvl w:val="1"/>
          <w:numId w:val="1"/>
        </w:numPr>
        <w:tabs>
          <w:tab w:val="left" w:pos="-1418"/>
        </w:tabs>
        <w:ind w:left="1134" w:right="34" w:hanging="1134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The following, although not exhaustive, DO NOT constitute grounds for review:</w:t>
      </w:r>
    </w:p>
    <w:p w14:paraId="53CF22B2" w14:textId="77777777" w:rsidR="005B2852" w:rsidRPr="009E1ADF" w:rsidRDefault="005B2852" w:rsidP="005B2852">
      <w:pPr>
        <w:tabs>
          <w:tab w:val="left" w:pos="-1418"/>
        </w:tabs>
        <w:ind w:left="360" w:right="34"/>
        <w:rPr>
          <w:rFonts w:ascii="Verdana" w:hAnsi="Verdana" w:cs="Arial"/>
          <w:sz w:val="20"/>
          <w:szCs w:val="20"/>
        </w:rPr>
      </w:pPr>
    </w:p>
    <w:p w14:paraId="4C72E2E6" w14:textId="77777777" w:rsidR="005B2852" w:rsidRDefault="009E1ADF" w:rsidP="009E1ADF">
      <w:pPr>
        <w:pStyle w:val="NoSpacing"/>
        <w:numPr>
          <w:ilvl w:val="0"/>
          <w:numId w:val="19"/>
        </w:numPr>
        <w:ind w:left="1560"/>
        <w:rPr>
          <w:rFonts w:ascii="Verdana" w:hAnsi="Verdana"/>
          <w:sz w:val="20"/>
          <w:szCs w:val="20"/>
        </w:rPr>
      </w:pPr>
      <w:r w:rsidRPr="009E1ADF">
        <w:rPr>
          <w:rFonts w:ascii="Verdana" w:hAnsi="Verdana"/>
          <w:sz w:val="20"/>
          <w:szCs w:val="20"/>
        </w:rPr>
        <w:t>A challenge to the academic judgement of a properly convened and constit</w:t>
      </w:r>
      <w:r w:rsidR="00045822">
        <w:rPr>
          <w:rFonts w:ascii="Verdana" w:hAnsi="Verdana"/>
          <w:sz w:val="20"/>
          <w:szCs w:val="20"/>
        </w:rPr>
        <w:t>uted Assessment/Award Board, for example that the marks awarded were too low.</w:t>
      </w:r>
    </w:p>
    <w:p w14:paraId="6E778265" w14:textId="7A2D8398" w:rsidR="00045822" w:rsidRDefault="00045822" w:rsidP="009E1ADF">
      <w:pPr>
        <w:pStyle w:val="NoSpacing"/>
        <w:numPr>
          <w:ilvl w:val="0"/>
          <w:numId w:val="19"/>
        </w:numPr>
        <w:ind w:left="15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Complaints about the quality of the programme (these are dealt with under the College’s complaints process</w:t>
      </w:r>
      <w:r w:rsidR="008E2BEA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.</w:t>
      </w:r>
    </w:p>
    <w:p w14:paraId="79D24BA8" w14:textId="77777777" w:rsidR="00045822" w:rsidRDefault="002D730C" w:rsidP="009E1ADF">
      <w:pPr>
        <w:pStyle w:val="NoSpacing"/>
        <w:numPr>
          <w:ilvl w:val="0"/>
          <w:numId w:val="19"/>
        </w:numPr>
        <w:ind w:left="15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challenge to the Assessment/Award Board where the Board has applied the appropriate penalty for a proven case of academic misconduct as stipulated under the College’s Disciplinary Procedure.</w:t>
      </w:r>
    </w:p>
    <w:p w14:paraId="13AD6CB0" w14:textId="77777777" w:rsidR="002D730C" w:rsidRDefault="007954E3" w:rsidP="009E1ADF">
      <w:pPr>
        <w:pStyle w:val="NoSpacing"/>
        <w:numPr>
          <w:ilvl w:val="0"/>
          <w:numId w:val="19"/>
        </w:numPr>
        <w:ind w:left="15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 appeal based on the grounds that the student did not understand or was not aware of the College’s procedures or regulations.</w:t>
      </w:r>
    </w:p>
    <w:p w14:paraId="7F2F4AC4" w14:textId="77777777" w:rsidR="00DF5F30" w:rsidRPr="009E1ADF" w:rsidRDefault="005B2852" w:rsidP="005B2852">
      <w:pPr>
        <w:pStyle w:val="ListParagraph"/>
        <w:tabs>
          <w:tab w:val="left" w:pos="-1418"/>
        </w:tabs>
        <w:ind w:left="1134" w:right="34" w:hanging="1134"/>
        <w:rPr>
          <w:rFonts w:ascii="Verdana" w:hAnsi="Verdana" w:cs="Arial"/>
          <w:sz w:val="20"/>
          <w:szCs w:val="20"/>
        </w:rPr>
      </w:pPr>
      <w:r w:rsidRPr="009E1ADF">
        <w:rPr>
          <w:rFonts w:ascii="Verdana" w:hAnsi="Verdana" w:cs="Arial"/>
          <w:sz w:val="20"/>
          <w:szCs w:val="20"/>
        </w:rPr>
        <w:tab/>
      </w:r>
    </w:p>
    <w:p w14:paraId="54542F32" w14:textId="77777777" w:rsidR="004F76E7" w:rsidRPr="00642E0D" w:rsidRDefault="004F76E7" w:rsidP="00642E0D">
      <w:pPr>
        <w:pStyle w:val="ListParagraph"/>
        <w:numPr>
          <w:ilvl w:val="0"/>
          <w:numId w:val="1"/>
        </w:numPr>
        <w:tabs>
          <w:tab w:val="left" w:pos="-1418"/>
        </w:tabs>
        <w:ind w:left="1134" w:right="34" w:hanging="1134"/>
        <w:rPr>
          <w:rFonts w:ascii="Verdana" w:hAnsi="Verdana" w:cs="Arial"/>
          <w:sz w:val="20"/>
          <w:szCs w:val="20"/>
        </w:rPr>
      </w:pPr>
      <w:r w:rsidRPr="009E1ADF">
        <w:rPr>
          <w:rFonts w:ascii="Verdana" w:hAnsi="Verdana" w:cs="Arial"/>
          <w:b/>
          <w:bCs/>
          <w:sz w:val="20"/>
          <w:szCs w:val="20"/>
        </w:rPr>
        <w:t>Means</w:t>
      </w:r>
      <w:r w:rsidRPr="004F76E7">
        <w:rPr>
          <w:rFonts w:ascii="Verdana" w:hAnsi="Verdana" w:cs="Arial"/>
          <w:b/>
          <w:bCs/>
          <w:sz w:val="20"/>
          <w:szCs w:val="20"/>
        </w:rPr>
        <w:t xml:space="preserve"> of Appeal</w:t>
      </w:r>
    </w:p>
    <w:p w14:paraId="3CA383E1" w14:textId="77777777" w:rsidR="00842661" w:rsidRPr="004F76E7" w:rsidRDefault="00842661" w:rsidP="004F76E7">
      <w:pPr>
        <w:pStyle w:val="ListParagraph"/>
        <w:tabs>
          <w:tab w:val="left" w:pos="-1418"/>
        </w:tabs>
        <w:ind w:left="1134" w:right="34"/>
        <w:rPr>
          <w:rFonts w:ascii="Verdana" w:hAnsi="Verdana" w:cs="Arial"/>
          <w:sz w:val="20"/>
          <w:szCs w:val="20"/>
          <w:u w:val="single"/>
        </w:rPr>
      </w:pPr>
    </w:p>
    <w:p w14:paraId="68072C19" w14:textId="77777777" w:rsidR="00642E0D" w:rsidRPr="00642E0D" w:rsidRDefault="00D90968" w:rsidP="00384EF9">
      <w:pPr>
        <w:pStyle w:val="ListParagraph"/>
        <w:numPr>
          <w:ilvl w:val="1"/>
          <w:numId w:val="1"/>
        </w:numPr>
        <w:tabs>
          <w:tab w:val="left" w:pos="-1418"/>
        </w:tabs>
        <w:ind w:left="1134" w:right="34" w:hanging="1134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Before submitting an appeal, students</w:t>
      </w:r>
      <w:r w:rsidR="00642E0D" w:rsidRPr="00642E0D">
        <w:rPr>
          <w:rFonts w:ascii="Verdana" w:hAnsi="Verdana" w:cs="Arial"/>
          <w:bCs/>
          <w:sz w:val="20"/>
          <w:szCs w:val="20"/>
        </w:rPr>
        <w:t xml:space="preserve"> are encouraged to seek advice from</w:t>
      </w:r>
      <w:r w:rsidR="00445C64">
        <w:rPr>
          <w:rFonts w:ascii="Verdana" w:hAnsi="Verdana" w:cs="Arial"/>
          <w:bCs/>
          <w:sz w:val="20"/>
          <w:szCs w:val="20"/>
        </w:rPr>
        <w:t xml:space="preserve"> the Students’ Union.</w:t>
      </w:r>
      <w:r w:rsidR="00642E0D">
        <w:rPr>
          <w:rFonts w:ascii="Verdana" w:hAnsi="Verdana" w:cs="Arial"/>
          <w:bCs/>
          <w:sz w:val="20"/>
          <w:szCs w:val="20"/>
        </w:rPr>
        <w:br/>
      </w:r>
    </w:p>
    <w:p w14:paraId="7633A15B" w14:textId="1CC48EC8" w:rsidR="00271926" w:rsidRPr="00271926" w:rsidRDefault="005C3FAA" w:rsidP="00384EF9">
      <w:pPr>
        <w:pStyle w:val="ListParagraph"/>
        <w:numPr>
          <w:ilvl w:val="1"/>
          <w:numId w:val="1"/>
        </w:numPr>
        <w:tabs>
          <w:tab w:val="left" w:pos="-1418"/>
        </w:tabs>
        <w:ind w:left="1134" w:right="34" w:hanging="1134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lastRenderedPageBreak/>
        <w:t xml:space="preserve">If a student decides to submit an appeal, they should write to or e-mail the </w:t>
      </w:r>
      <w:r w:rsidR="00034569">
        <w:rPr>
          <w:rFonts w:ascii="Verdana" w:hAnsi="Verdana" w:cs="Arial"/>
          <w:bCs/>
          <w:sz w:val="20"/>
          <w:szCs w:val="20"/>
        </w:rPr>
        <w:t>Director of Quality</w:t>
      </w:r>
      <w:r w:rsidR="003C0793">
        <w:rPr>
          <w:rFonts w:ascii="Verdana" w:hAnsi="Verdana" w:cs="Arial"/>
          <w:bCs/>
          <w:sz w:val="20"/>
          <w:szCs w:val="20"/>
        </w:rPr>
        <w:t xml:space="preserve"> &amp; HE</w:t>
      </w:r>
      <w:r w:rsidR="00EE0C6B">
        <w:rPr>
          <w:rFonts w:ascii="Verdana" w:hAnsi="Verdana" w:cs="Arial"/>
          <w:bCs/>
          <w:sz w:val="20"/>
          <w:szCs w:val="20"/>
        </w:rPr>
        <w:t xml:space="preserve"> at the College within</w:t>
      </w:r>
      <w:r w:rsidR="00482CDC">
        <w:rPr>
          <w:rFonts w:ascii="Verdana" w:hAnsi="Verdana" w:cs="Arial"/>
          <w:bCs/>
          <w:sz w:val="20"/>
          <w:szCs w:val="20"/>
        </w:rPr>
        <w:t xml:space="preserve"> 15 </w:t>
      </w:r>
      <w:r w:rsidR="00271926">
        <w:rPr>
          <w:rFonts w:ascii="Verdana" w:hAnsi="Verdana" w:cs="Arial"/>
          <w:bCs/>
          <w:sz w:val="20"/>
          <w:szCs w:val="20"/>
        </w:rPr>
        <w:t xml:space="preserve">working </w:t>
      </w:r>
      <w:r w:rsidR="00482CDC">
        <w:rPr>
          <w:rFonts w:ascii="Verdana" w:hAnsi="Verdana" w:cs="Arial"/>
          <w:bCs/>
          <w:sz w:val="20"/>
          <w:szCs w:val="20"/>
        </w:rPr>
        <w:t>days of the publication of the Assessment/Award Board results and include the information detailed below.  Appeals submitted after this time will only be considered in the most exceptional circumstances</w:t>
      </w:r>
      <w:r w:rsidR="00CA427A">
        <w:rPr>
          <w:rFonts w:ascii="Verdana" w:hAnsi="Verdana" w:cs="Arial"/>
          <w:bCs/>
          <w:sz w:val="20"/>
          <w:szCs w:val="20"/>
        </w:rPr>
        <w:t xml:space="preserve"> where the </w:t>
      </w:r>
      <w:r w:rsidR="00034569">
        <w:rPr>
          <w:rFonts w:ascii="Verdana" w:hAnsi="Verdana" w:cs="Arial"/>
          <w:bCs/>
          <w:sz w:val="20"/>
          <w:szCs w:val="20"/>
        </w:rPr>
        <w:t>Directo</w:t>
      </w:r>
      <w:r w:rsidR="008E2BEA">
        <w:rPr>
          <w:rFonts w:ascii="Verdana" w:hAnsi="Verdana" w:cs="Arial"/>
          <w:bCs/>
          <w:sz w:val="20"/>
          <w:szCs w:val="20"/>
        </w:rPr>
        <w:t>r</w:t>
      </w:r>
      <w:r w:rsidR="00034569">
        <w:rPr>
          <w:rFonts w:ascii="Verdana" w:hAnsi="Verdana" w:cs="Arial"/>
          <w:bCs/>
          <w:sz w:val="20"/>
          <w:szCs w:val="20"/>
        </w:rPr>
        <w:t xml:space="preserve"> of Quality</w:t>
      </w:r>
      <w:r w:rsidR="003C0793">
        <w:rPr>
          <w:rFonts w:ascii="Verdana" w:hAnsi="Verdana" w:cs="Arial"/>
          <w:bCs/>
          <w:sz w:val="20"/>
          <w:szCs w:val="20"/>
        </w:rPr>
        <w:t xml:space="preserve"> &amp; HE</w:t>
      </w:r>
      <w:r w:rsidR="00271926">
        <w:rPr>
          <w:rFonts w:ascii="Verdana" w:hAnsi="Verdana" w:cs="Arial"/>
          <w:bCs/>
          <w:sz w:val="20"/>
          <w:szCs w:val="20"/>
        </w:rPr>
        <w:t xml:space="preserve"> accepts that there were compelling reasons why the appeal could not be lodged within the 15 working days.</w:t>
      </w:r>
      <w:r w:rsidR="004F76E7" w:rsidRPr="004F76E7">
        <w:rPr>
          <w:rFonts w:ascii="Verdana" w:hAnsi="Verdana" w:cs="Arial"/>
          <w:bCs/>
          <w:sz w:val="20"/>
          <w:szCs w:val="20"/>
        </w:rPr>
        <w:t xml:space="preserve"> </w:t>
      </w:r>
    </w:p>
    <w:p w14:paraId="35C21DF0" w14:textId="77777777" w:rsidR="004F76E7" w:rsidRPr="004F76E7" w:rsidRDefault="004F76E7" w:rsidP="004F76E7">
      <w:pPr>
        <w:pStyle w:val="ListParagraph"/>
        <w:tabs>
          <w:tab w:val="left" w:pos="-1418"/>
        </w:tabs>
        <w:ind w:left="1134" w:right="34"/>
        <w:rPr>
          <w:rFonts w:ascii="Verdana" w:hAnsi="Verdana" w:cs="Arial"/>
          <w:sz w:val="20"/>
          <w:szCs w:val="20"/>
        </w:rPr>
      </w:pPr>
    </w:p>
    <w:p w14:paraId="73036005" w14:textId="77777777" w:rsidR="003F25EE" w:rsidRPr="003F25EE" w:rsidRDefault="004F76E7" w:rsidP="00384EF9">
      <w:pPr>
        <w:pStyle w:val="ListParagraph"/>
        <w:numPr>
          <w:ilvl w:val="1"/>
          <w:numId w:val="1"/>
        </w:numPr>
        <w:tabs>
          <w:tab w:val="left" w:pos="-1418"/>
        </w:tabs>
        <w:ind w:left="1134" w:right="34" w:hanging="1134"/>
        <w:rPr>
          <w:rFonts w:ascii="Verdana" w:hAnsi="Verdana" w:cs="Arial"/>
          <w:sz w:val="20"/>
          <w:szCs w:val="20"/>
        </w:rPr>
      </w:pPr>
      <w:r w:rsidRPr="004F76E7">
        <w:rPr>
          <w:rFonts w:ascii="Verdana" w:hAnsi="Verdana" w:cs="Arial"/>
          <w:bCs/>
          <w:sz w:val="20"/>
          <w:szCs w:val="20"/>
        </w:rPr>
        <w:t xml:space="preserve">The </w:t>
      </w:r>
      <w:r w:rsidR="003F25EE">
        <w:rPr>
          <w:rFonts w:ascii="Verdana" w:hAnsi="Verdana" w:cs="Arial"/>
          <w:bCs/>
          <w:sz w:val="20"/>
          <w:szCs w:val="20"/>
        </w:rPr>
        <w:t>written appeal must include:</w:t>
      </w:r>
    </w:p>
    <w:p w14:paraId="638785DE" w14:textId="77777777" w:rsidR="004F76E7" w:rsidRPr="003F25EE" w:rsidRDefault="004F76E7" w:rsidP="003F25EE">
      <w:pPr>
        <w:tabs>
          <w:tab w:val="left" w:pos="-1418"/>
        </w:tabs>
        <w:ind w:right="34"/>
        <w:rPr>
          <w:rFonts w:ascii="Verdana" w:hAnsi="Verdana" w:cs="Arial"/>
          <w:sz w:val="20"/>
          <w:szCs w:val="20"/>
        </w:rPr>
      </w:pPr>
    </w:p>
    <w:p w14:paraId="61277EC5" w14:textId="77777777" w:rsidR="004F76E7" w:rsidRPr="004F76E7" w:rsidRDefault="003F25EE" w:rsidP="004F76E7">
      <w:pPr>
        <w:pStyle w:val="ListParagraph"/>
        <w:numPr>
          <w:ilvl w:val="0"/>
          <w:numId w:val="8"/>
        </w:numPr>
        <w:tabs>
          <w:tab w:val="num" w:pos="1560"/>
        </w:tabs>
        <w:ind w:left="1560" w:hanging="426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Full name and Student ID number, address and contact telephone number</w:t>
      </w:r>
      <w:r w:rsidR="006E0BAF">
        <w:rPr>
          <w:rFonts w:ascii="Verdana" w:hAnsi="Verdana" w:cs="Arial"/>
          <w:bCs/>
          <w:sz w:val="20"/>
          <w:szCs w:val="20"/>
        </w:rPr>
        <w:t>, the programme title and year of study.</w:t>
      </w:r>
    </w:p>
    <w:p w14:paraId="433745B3" w14:textId="77777777" w:rsidR="004F76E7" w:rsidRPr="00DE445B" w:rsidRDefault="006E0BAF" w:rsidP="004F76E7">
      <w:pPr>
        <w:pStyle w:val="ListParagraph"/>
        <w:numPr>
          <w:ilvl w:val="0"/>
          <w:numId w:val="8"/>
        </w:numPr>
        <w:tabs>
          <w:tab w:val="left" w:pos="-1418"/>
        </w:tabs>
        <w:ind w:left="1560" w:right="34" w:hanging="426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Details of the decision you are asking to be reviewed (</w:t>
      </w:r>
      <w:proofErr w:type="gramStart"/>
      <w:r>
        <w:rPr>
          <w:rFonts w:ascii="Verdana" w:hAnsi="Verdana" w:cs="Arial"/>
          <w:bCs/>
          <w:sz w:val="20"/>
          <w:szCs w:val="20"/>
        </w:rPr>
        <w:t>e</w:t>
      </w:r>
      <w:r w:rsidR="007D4CBE">
        <w:rPr>
          <w:rFonts w:ascii="Verdana" w:hAnsi="Verdana" w:cs="Arial"/>
          <w:bCs/>
          <w:sz w:val="20"/>
          <w:szCs w:val="20"/>
        </w:rPr>
        <w:t>.</w:t>
      </w:r>
      <w:r>
        <w:rPr>
          <w:rFonts w:ascii="Verdana" w:hAnsi="Verdana" w:cs="Arial"/>
          <w:bCs/>
          <w:sz w:val="20"/>
          <w:szCs w:val="20"/>
        </w:rPr>
        <w:t>g</w:t>
      </w:r>
      <w:r w:rsidR="007D4CBE">
        <w:rPr>
          <w:rFonts w:ascii="Verdana" w:hAnsi="Verdana" w:cs="Arial"/>
          <w:bCs/>
          <w:sz w:val="20"/>
          <w:szCs w:val="20"/>
        </w:rPr>
        <w:t>.</w:t>
      </w:r>
      <w:proofErr w:type="gramEnd"/>
      <w:r>
        <w:rPr>
          <w:rFonts w:ascii="Verdana" w:hAnsi="Verdana" w:cs="Arial"/>
          <w:bCs/>
          <w:sz w:val="20"/>
          <w:szCs w:val="20"/>
        </w:rPr>
        <w:t xml:space="preserve"> failure on particular unit or progression to the next stage of the programme)</w:t>
      </w:r>
    </w:p>
    <w:p w14:paraId="3A79C0B7" w14:textId="619E3520" w:rsidR="00DE445B" w:rsidRPr="00DE445B" w:rsidRDefault="00DE445B" w:rsidP="004F76E7">
      <w:pPr>
        <w:pStyle w:val="ListParagraph"/>
        <w:numPr>
          <w:ilvl w:val="0"/>
          <w:numId w:val="8"/>
        </w:numPr>
        <w:tabs>
          <w:tab w:val="left" w:pos="-1418"/>
        </w:tabs>
        <w:ind w:left="1560" w:right="34" w:hanging="426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Name of the </w:t>
      </w:r>
      <w:r w:rsidR="00857BAF">
        <w:rPr>
          <w:rFonts w:ascii="Verdana" w:hAnsi="Verdana" w:cs="Arial"/>
          <w:bCs/>
          <w:sz w:val="20"/>
          <w:szCs w:val="20"/>
        </w:rPr>
        <w:t>Head of Learning and/or Subject Lead</w:t>
      </w:r>
    </w:p>
    <w:p w14:paraId="6BE2FA67" w14:textId="77777777" w:rsidR="00DE445B" w:rsidRPr="004F76E7" w:rsidRDefault="00DE445B" w:rsidP="004F76E7">
      <w:pPr>
        <w:pStyle w:val="ListParagraph"/>
        <w:numPr>
          <w:ilvl w:val="0"/>
          <w:numId w:val="8"/>
        </w:numPr>
        <w:tabs>
          <w:tab w:val="left" w:pos="-1418"/>
        </w:tabs>
        <w:ind w:left="1560" w:right="34" w:hanging="426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Full details of the grounds for your appeal (and where appropriate) why these factors had not been disclosed as part of the </w:t>
      </w:r>
      <w:r w:rsidR="0007562F">
        <w:rPr>
          <w:rFonts w:ascii="Verdana" w:hAnsi="Verdana" w:cs="Arial"/>
          <w:bCs/>
          <w:sz w:val="20"/>
          <w:szCs w:val="20"/>
        </w:rPr>
        <w:t>Extenuating</w:t>
      </w:r>
      <w:r>
        <w:rPr>
          <w:rFonts w:ascii="Verdana" w:hAnsi="Verdana" w:cs="Arial"/>
          <w:bCs/>
          <w:sz w:val="20"/>
          <w:szCs w:val="20"/>
        </w:rPr>
        <w:t xml:space="preserve"> Circumstances process.</w:t>
      </w:r>
    </w:p>
    <w:p w14:paraId="7DAD3E05" w14:textId="77777777" w:rsidR="004F76E7" w:rsidRPr="004F76E7" w:rsidRDefault="004F76E7" w:rsidP="004F76E7">
      <w:pPr>
        <w:pStyle w:val="ListParagraph"/>
        <w:tabs>
          <w:tab w:val="left" w:pos="-1418"/>
        </w:tabs>
        <w:ind w:left="1134" w:right="34"/>
        <w:rPr>
          <w:rFonts w:ascii="Verdana" w:hAnsi="Verdana" w:cs="Arial"/>
          <w:bCs/>
          <w:sz w:val="20"/>
          <w:szCs w:val="20"/>
        </w:rPr>
      </w:pPr>
    </w:p>
    <w:p w14:paraId="7A3148B7" w14:textId="092DB0BD" w:rsidR="00CF01E3" w:rsidRPr="00CF01E3" w:rsidRDefault="000678AB" w:rsidP="00384EF9">
      <w:pPr>
        <w:pStyle w:val="ListParagraph"/>
        <w:numPr>
          <w:ilvl w:val="1"/>
          <w:numId w:val="1"/>
        </w:numPr>
        <w:tabs>
          <w:tab w:val="left" w:pos="-1418"/>
        </w:tabs>
        <w:ind w:left="1134" w:right="34" w:hanging="1134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The </w:t>
      </w:r>
      <w:r w:rsidR="00962830">
        <w:rPr>
          <w:rFonts w:ascii="Verdana" w:hAnsi="Verdana" w:cs="Arial"/>
          <w:bCs/>
          <w:sz w:val="20"/>
          <w:szCs w:val="20"/>
        </w:rPr>
        <w:t>Director of Quality</w:t>
      </w:r>
      <w:r w:rsidR="00E21D6F">
        <w:rPr>
          <w:rFonts w:ascii="Verdana" w:hAnsi="Verdana" w:cs="Arial"/>
          <w:bCs/>
          <w:sz w:val="20"/>
          <w:szCs w:val="20"/>
        </w:rPr>
        <w:t xml:space="preserve"> &amp; HE</w:t>
      </w:r>
      <w:r w:rsidR="00CF01E3">
        <w:rPr>
          <w:rFonts w:ascii="Verdana" w:hAnsi="Verdana" w:cs="Arial"/>
          <w:bCs/>
          <w:sz w:val="20"/>
          <w:szCs w:val="20"/>
        </w:rPr>
        <w:t xml:space="preserve"> will acknowledge receipt of the appeal and request a review of an Assessment/Award Board decision within 5 working days.</w:t>
      </w:r>
    </w:p>
    <w:p w14:paraId="4FBF7AE8" w14:textId="77777777" w:rsidR="00842661" w:rsidRPr="00842661" w:rsidRDefault="00842661" w:rsidP="00842661">
      <w:pPr>
        <w:pStyle w:val="ListParagraph"/>
        <w:tabs>
          <w:tab w:val="left" w:pos="-1418"/>
        </w:tabs>
        <w:ind w:left="1134" w:right="34"/>
        <w:rPr>
          <w:rFonts w:ascii="Verdana" w:hAnsi="Verdana" w:cs="Arial"/>
          <w:sz w:val="20"/>
          <w:szCs w:val="20"/>
        </w:rPr>
      </w:pPr>
    </w:p>
    <w:p w14:paraId="7FDAFBCE" w14:textId="1B73F071" w:rsidR="00B275E8" w:rsidRPr="00B275E8" w:rsidRDefault="00842661" w:rsidP="00384EF9">
      <w:pPr>
        <w:pStyle w:val="ListParagraph"/>
        <w:numPr>
          <w:ilvl w:val="1"/>
          <w:numId w:val="1"/>
        </w:numPr>
        <w:tabs>
          <w:tab w:val="left" w:pos="-1418"/>
        </w:tabs>
        <w:ind w:left="1134" w:right="34" w:hanging="1134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The </w:t>
      </w:r>
      <w:r w:rsidR="00282A90">
        <w:rPr>
          <w:rFonts w:ascii="Verdana" w:hAnsi="Verdana" w:cs="Arial"/>
          <w:bCs/>
          <w:sz w:val="20"/>
          <w:szCs w:val="20"/>
        </w:rPr>
        <w:t xml:space="preserve">Assistant </w:t>
      </w:r>
      <w:r w:rsidR="00962830">
        <w:rPr>
          <w:rFonts w:ascii="Verdana" w:hAnsi="Verdana" w:cs="Arial"/>
          <w:bCs/>
          <w:sz w:val="20"/>
          <w:szCs w:val="20"/>
        </w:rPr>
        <w:t>Principal for Curriculum and Quality</w:t>
      </w:r>
      <w:r w:rsidR="00B275E8">
        <w:rPr>
          <w:rFonts w:ascii="Verdana" w:hAnsi="Verdana" w:cs="Arial"/>
          <w:bCs/>
          <w:sz w:val="20"/>
          <w:szCs w:val="20"/>
        </w:rPr>
        <w:t>,</w:t>
      </w:r>
      <w:r w:rsidR="00FB43FC">
        <w:rPr>
          <w:rFonts w:ascii="Verdana" w:hAnsi="Verdana" w:cs="Arial"/>
          <w:bCs/>
          <w:sz w:val="20"/>
          <w:szCs w:val="20"/>
        </w:rPr>
        <w:t xml:space="preserve"> or other Director</w:t>
      </w:r>
      <w:r w:rsidR="00C7525A">
        <w:rPr>
          <w:rFonts w:ascii="Verdana" w:hAnsi="Verdana" w:cs="Arial"/>
          <w:bCs/>
          <w:sz w:val="20"/>
          <w:szCs w:val="20"/>
        </w:rPr>
        <w:t xml:space="preserve"> not directly involved with the relevant academic team</w:t>
      </w:r>
      <w:r w:rsidR="00B275E8">
        <w:rPr>
          <w:rFonts w:ascii="Verdana" w:hAnsi="Verdana" w:cs="Arial"/>
          <w:bCs/>
          <w:sz w:val="20"/>
          <w:szCs w:val="20"/>
        </w:rPr>
        <w:t>,</w:t>
      </w:r>
      <w:r w:rsidR="00C7525A">
        <w:rPr>
          <w:rFonts w:ascii="Verdana" w:hAnsi="Verdana" w:cs="Arial"/>
          <w:bCs/>
          <w:sz w:val="20"/>
          <w:szCs w:val="20"/>
        </w:rPr>
        <w:t xml:space="preserve"> will make an assessment of the case, drawing upon information provided by the relevant academic staff, those involved in the Assessment/Award Board and determine whether the appeal satisfies the grounds outlined in sections </w:t>
      </w:r>
      <w:r w:rsidR="00B275E8">
        <w:rPr>
          <w:rFonts w:ascii="Verdana" w:hAnsi="Verdana" w:cs="Arial"/>
          <w:bCs/>
          <w:sz w:val="20"/>
          <w:szCs w:val="20"/>
        </w:rPr>
        <w:t>1.1.</w:t>
      </w:r>
      <w:r w:rsidR="001E5058">
        <w:rPr>
          <w:rFonts w:ascii="Verdana" w:hAnsi="Verdana" w:cs="Arial"/>
          <w:bCs/>
          <w:sz w:val="20"/>
          <w:szCs w:val="20"/>
        </w:rPr>
        <w:t xml:space="preserve">  It may be necessary to speak to the student to clarify key points.</w:t>
      </w:r>
    </w:p>
    <w:p w14:paraId="0EFB12C3" w14:textId="77777777" w:rsidR="00B275E8" w:rsidRPr="00B275E8" w:rsidRDefault="00B275E8" w:rsidP="00B275E8">
      <w:pPr>
        <w:pStyle w:val="ListParagraph"/>
        <w:rPr>
          <w:rFonts w:ascii="Verdana" w:hAnsi="Verdana" w:cs="Arial"/>
          <w:bCs/>
          <w:sz w:val="20"/>
          <w:szCs w:val="20"/>
        </w:rPr>
      </w:pPr>
    </w:p>
    <w:p w14:paraId="510B7F4E" w14:textId="77777777" w:rsidR="00B275E8" w:rsidRPr="00B275E8" w:rsidRDefault="001E5058" w:rsidP="00384EF9">
      <w:pPr>
        <w:pStyle w:val="ListParagraph"/>
        <w:numPr>
          <w:ilvl w:val="1"/>
          <w:numId w:val="1"/>
        </w:numPr>
        <w:tabs>
          <w:tab w:val="left" w:pos="-1418"/>
        </w:tabs>
        <w:ind w:left="1134" w:right="34" w:hanging="1134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 response to the appeal will normally be formally notified to the student within 25 working days of its receipt</w:t>
      </w:r>
      <w:r w:rsidR="00BE41DA">
        <w:rPr>
          <w:rFonts w:ascii="Verdana" w:hAnsi="Verdana" w:cs="Arial"/>
          <w:sz w:val="20"/>
          <w:szCs w:val="20"/>
        </w:rPr>
        <w:t xml:space="preserve">.  However, depending on the time of year that the appeal is lodged, it may not be possible to obtain all the relevant information within this timescale but </w:t>
      </w:r>
      <w:r w:rsidR="00EB1724">
        <w:rPr>
          <w:rFonts w:ascii="Verdana" w:hAnsi="Verdana" w:cs="Arial"/>
          <w:sz w:val="20"/>
          <w:szCs w:val="20"/>
        </w:rPr>
        <w:t>the student will be contacted to keep them informed.</w:t>
      </w:r>
    </w:p>
    <w:p w14:paraId="411FC394" w14:textId="77777777" w:rsidR="00B275E8" w:rsidRPr="00B275E8" w:rsidRDefault="00B275E8" w:rsidP="00B275E8">
      <w:pPr>
        <w:pStyle w:val="ListParagraph"/>
        <w:rPr>
          <w:rFonts w:ascii="Verdana" w:hAnsi="Verdana" w:cs="Arial"/>
          <w:bCs/>
          <w:sz w:val="20"/>
          <w:szCs w:val="20"/>
        </w:rPr>
      </w:pPr>
    </w:p>
    <w:p w14:paraId="7A9EE259" w14:textId="77777777" w:rsidR="001F23D0" w:rsidRPr="001F23D0" w:rsidRDefault="001F23D0" w:rsidP="00384EF9">
      <w:pPr>
        <w:pStyle w:val="ListParagraph"/>
        <w:numPr>
          <w:ilvl w:val="1"/>
          <w:numId w:val="1"/>
        </w:numPr>
        <w:tabs>
          <w:tab w:val="left" w:pos="-1418"/>
        </w:tabs>
        <w:ind w:left="1134" w:right="34" w:hanging="1134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The following decisions may be reached:</w:t>
      </w:r>
    </w:p>
    <w:p w14:paraId="3C5E6B84" w14:textId="77777777" w:rsidR="001F23D0" w:rsidRPr="001F23D0" w:rsidRDefault="001F23D0" w:rsidP="001F23D0">
      <w:pPr>
        <w:pStyle w:val="ListParagraph"/>
        <w:rPr>
          <w:rFonts w:ascii="Verdana" w:hAnsi="Verdana" w:cs="Arial"/>
          <w:bCs/>
          <w:sz w:val="20"/>
          <w:szCs w:val="20"/>
        </w:rPr>
      </w:pPr>
    </w:p>
    <w:p w14:paraId="0D4F721C" w14:textId="77777777" w:rsidR="001F23D0" w:rsidRDefault="000716C3" w:rsidP="001F23D0">
      <w:pPr>
        <w:pStyle w:val="ListParagraph"/>
        <w:numPr>
          <w:ilvl w:val="0"/>
          <w:numId w:val="20"/>
        </w:numPr>
        <w:tabs>
          <w:tab w:val="left" w:pos="-1418"/>
        </w:tabs>
        <w:ind w:left="1560" w:right="34" w:hanging="426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To dismiss the appeal if there is evidence that the Assessment/Award Board has already taken account of the points raised in the appeal, the assessment procedures have been properly implemented (</w:t>
      </w:r>
      <w:proofErr w:type="gramStart"/>
      <w:r>
        <w:rPr>
          <w:rFonts w:ascii="Verdana" w:hAnsi="Verdana" w:cs="Arial"/>
          <w:sz w:val="20"/>
          <w:szCs w:val="20"/>
        </w:rPr>
        <w:t>e</w:t>
      </w:r>
      <w:r w:rsidR="00B52379">
        <w:rPr>
          <w:rFonts w:ascii="Verdana" w:hAnsi="Verdana" w:cs="Arial"/>
          <w:sz w:val="20"/>
          <w:szCs w:val="20"/>
        </w:rPr>
        <w:t>.</w:t>
      </w:r>
      <w:r>
        <w:rPr>
          <w:rFonts w:ascii="Verdana" w:hAnsi="Verdana" w:cs="Arial"/>
          <w:sz w:val="20"/>
          <w:szCs w:val="20"/>
        </w:rPr>
        <w:t>g</w:t>
      </w:r>
      <w:r w:rsidR="00B52379">
        <w:rPr>
          <w:rFonts w:ascii="Verdana" w:hAnsi="Verdana" w:cs="Arial"/>
          <w:sz w:val="20"/>
          <w:szCs w:val="20"/>
        </w:rPr>
        <w:t>.</w:t>
      </w:r>
      <w:proofErr w:type="gramEnd"/>
      <w:r>
        <w:rPr>
          <w:rFonts w:ascii="Verdana" w:hAnsi="Verdana" w:cs="Arial"/>
          <w:sz w:val="20"/>
          <w:szCs w:val="20"/>
        </w:rPr>
        <w:t xml:space="preserve"> there is no sound reason why the Extenuating Circumstances Procedure </w:t>
      </w:r>
      <w:r w:rsidR="00202A21">
        <w:rPr>
          <w:rFonts w:ascii="Verdana" w:hAnsi="Verdana" w:cs="Arial"/>
          <w:sz w:val="20"/>
          <w:szCs w:val="20"/>
        </w:rPr>
        <w:t>could not have been used</w:t>
      </w:r>
      <w:r w:rsidR="0065331A">
        <w:rPr>
          <w:rFonts w:ascii="Verdana" w:hAnsi="Verdana" w:cs="Arial"/>
          <w:sz w:val="20"/>
          <w:szCs w:val="20"/>
        </w:rPr>
        <w:t xml:space="preserve">).  The student </w:t>
      </w:r>
      <w:r w:rsidR="00202A21">
        <w:rPr>
          <w:rFonts w:ascii="Verdana" w:hAnsi="Verdana" w:cs="Arial"/>
          <w:sz w:val="20"/>
          <w:szCs w:val="20"/>
        </w:rPr>
        <w:t xml:space="preserve">will then have a further 10 working days in which to submit new evidence </w:t>
      </w:r>
      <w:r w:rsidR="002C0A3C">
        <w:rPr>
          <w:rFonts w:ascii="Verdana" w:hAnsi="Verdana" w:cs="Arial"/>
          <w:sz w:val="20"/>
          <w:szCs w:val="20"/>
        </w:rPr>
        <w:t xml:space="preserve">for </w:t>
      </w:r>
      <w:r w:rsidR="00202A21">
        <w:rPr>
          <w:rFonts w:ascii="Verdana" w:hAnsi="Verdana" w:cs="Arial"/>
          <w:sz w:val="20"/>
          <w:szCs w:val="20"/>
        </w:rPr>
        <w:t xml:space="preserve">the College to review.  If new evidence is submitted, </w:t>
      </w:r>
      <w:r w:rsidR="00F6498D">
        <w:rPr>
          <w:rFonts w:ascii="Verdana" w:hAnsi="Verdana" w:cs="Arial"/>
          <w:sz w:val="20"/>
          <w:szCs w:val="20"/>
        </w:rPr>
        <w:t>the process described in sections 2.4-2.7 will be followed.</w:t>
      </w:r>
      <w:r w:rsidR="00890071">
        <w:rPr>
          <w:rFonts w:ascii="Verdana" w:hAnsi="Verdana" w:cs="Arial"/>
          <w:sz w:val="20"/>
          <w:szCs w:val="20"/>
        </w:rPr>
        <w:t xml:space="preserve">  If the appeal is not upheld, a student may appeal to Pearson and information about how this can be done</w:t>
      </w:r>
      <w:r w:rsidR="00FA51BA">
        <w:rPr>
          <w:rFonts w:ascii="Verdana" w:hAnsi="Verdana" w:cs="Arial"/>
          <w:sz w:val="20"/>
          <w:szCs w:val="20"/>
        </w:rPr>
        <w:t xml:space="preserve"> will be provided with the communication indicating the decision.</w:t>
      </w:r>
    </w:p>
    <w:p w14:paraId="3BD956C4" w14:textId="77777777" w:rsidR="002C0A3C" w:rsidRDefault="002C0A3C" w:rsidP="002C0A3C">
      <w:pPr>
        <w:pStyle w:val="ListParagraph"/>
        <w:tabs>
          <w:tab w:val="left" w:pos="-1418"/>
        </w:tabs>
        <w:ind w:left="1560" w:right="34"/>
        <w:rPr>
          <w:rFonts w:ascii="Verdana" w:hAnsi="Verdana" w:cs="Arial"/>
          <w:sz w:val="20"/>
          <w:szCs w:val="20"/>
        </w:rPr>
      </w:pPr>
    </w:p>
    <w:p w14:paraId="1BE278B1" w14:textId="77777777" w:rsidR="004B21B7" w:rsidRDefault="00FA51BA" w:rsidP="001F23D0">
      <w:pPr>
        <w:pStyle w:val="ListParagraph"/>
        <w:numPr>
          <w:ilvl w:val="0"/>
          <w:numId w:val="20"/>
        </w:numPr>
        <w:tabs>
          <w:tab w:val="left" w:pos="-1418"/>
        </w:tabs>
        <w:ind w:left="1560" w:right="34" w:hanging="426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If it is deemed that irregularity or errors have occurred or grounds </w:t>
      </w:r>
      <w:proofErr w:type="gramStart"/>
      <w:r>
        <w:rPr>
          <w:rFonts w:ascii="Verdana" w:hAnsi="Verdana" w:cs="Arial"/>
          <w:sz w:val="20"/>
          <w:szCs w:val="20"/>
        </w:rPr>
        <w:t>why</w:t>
      </w:r>
      <w:proofErr w:type="gramEnd"/>
      <w:r>
        <w:rPr>
          <w:rFonts w:ascii="Verdana" w:hAnsi="Verdana" w:cs="Arial"/>
          <w:sz w:val="20"/>
          <w:szCs w:val="20"/>
        </w:rPr>
        <w:t xml:space="preserve"> the extenuatin</w:t>
      </w:r>
      <w:r w:rsidR="002C0A3C">
        <w:rPr>
          <w:rFonts w:ascii="Verdana" w:hAnsi="Verdana" w:cs="Arial"/>
          <w:sz w:val="20"/>
          <w:szCs w:val="20"/>
        </w:rPr>
        <w:t xml:space="preserve">g circumstances could have </w:t>
      </w:r>
      <w:r>
        <w:rPr>
          <w:rFonts w:ascii="Verdana" w:hAnsi="Verdana" w:cs="Arial"/>
          <w:sz w:val="20"/>
          <w:szCs w:val="20"/>
        </w:rPr>
        <w:t>been communicated by the date of the Assessment/Award Board</w:t>
      </w:r>
      <w:r w:rsidR="004B21B7">
        <w:rPr>
          <w:rFonts w:ascii="Verdana" w:hAnsi="Verdana" w:cs="Arial"/>
          <w:sz w:val="20"/>
          <w:szCs w:val="20"/>
        </w:rPr>
        <w:t xml:space="preserve"> are accepted, the </w:t>
      </w:r>
      <w:r w:rsidR="00344ECB">
        <w:rPr>
          <w:rFonts w:ascii="Verdana" w:hAnsi="Verdana" w:cs="Arial"/>
          <w:sz w:val="20"/>
          <w:szCs w:val="20"/>
        </w:rPr>
        <w:t>appeal will be upheld.</w:t>
      </w:r>
    </w:p>
    <w:p w14:paraId="5A3CEFD2" w14:textId="77777777" w:rsidR="00FA51BA" w:rsidRPr="004B21B7" w:rsidRDefault="00FA51BA" w:rsidP="004B21B7">
      <w:pPr>
        <w:pStyle w:val="NoSpacing"/>
      </w:pPr>
    </w:p>
    <w:p w14:paraId="6EC93D1A" w14:textId="77777777" w:rsidR="00344ECB" w:rsidRDefault="00344ECB" w:rsidP="00FD5A1D">
      <w:pPr>
        <w:pStyle w:val="ListParagraph"/>
        <w:numPr>
          <w:ilvl w:val="0"/>
          <w:numId w:val="20"/>
        </w:numPr>
        <w:tabs>
          <w:tab w:val="left" w:pos="-1418"/>
        </w:tabs>
        <w:ind w:left="1560" w:right="34" w:hanging="426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To refer the appeal back to the Assessment/Award Board to amend or review its decision in the light of evidence collected during the investigation (normally 20 working days).  Cases will only be refer</w:t>
      </w:r>
      <w:r w:rsidR="003C70CA">
        <w:rPr>
          <w:rFonts w:ascii="Verdana" w:hAnsi="Verdana" w:cs="Arial"/>
          <w:sz w:val="20"/>
          <w:szCs w:val="20"/>
        </w:rPr>
        <w:t>red back to the Board where it is deemed that the full Board should consider the outcome in terms of the student’s progression or award.</w:t>
      </w:r>
      <w:r w:rsidR="004B21B7">
        <w:rPr>
          <w:rFonts w:ascii="Verdana" w:hAnsi="Verdana" w:cs="Arial"/>
          <w:sz w:val="20"/>
          <w:szCs w:val="20"/>
        </w:rPr>
        <w:br/>
      </w:r>
    </w:p>
    <w:p w14:paraId="393A0B47" w14:textId="77777777" w:rsidR="003C70CA" w:rsidRPr="001F23D0" w:rsidRDefault="003C70CA" w:rsidP="001F23D0">
      <w:pPr>
        <w:pStyle w:val="ListParagraph"/>
        <w:numPr>
          <w:ilvl w:val="0"/>
          <w:numId w:val="20"/>
        </w:numPr>
        <w:tabs>
          <w:tab w:val="left" w:pos="-1418"/>
        </w:tabs>
        <w:ind w:left="1560" w:right="34" w:hanging="426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To con</w:t>
      </w:r>
      <w:r w:rsidR="00BA18B1">
        <w:rPr>
          <w:rFonts w:ascii="Verdana" w:hAnsi="Verdana" w:cs="Arial"/>
          <w:sz w:val="20"/>
          <w:szCs w:val="20"/>
        </w:rPr>
        <w:t>vene an Assessment Appeals Panel</w:t>
      </w:r>
      <w:r>
        <w:rPr>
          <w:rFonts w:ascii="Verdana" w:hAnsi="Verdana" w:cs="Arial"/>
          <w:sz w:val="20"/>
          <w:szCs w:val="20"/>
        </w:rPr>
        <w:t xml:space="preserve"> – normally within 20 days.  Cases will only be referred to an Assessment Appeals </w:t>
      </w:r>
      <w:r w:rsidR="001A0802">
        <w:rPr>
          <w:rFonts w:ascii="Verdana" w:hAnsi="Verdana" w:cs="Arial"/>
          <w:sz w:val="20"/>
          <w:szCs w:val="20"/>
        </w:rPr>
        <w:t>Pane</w:t>
      </w:r>
      <w:r w:rsidR="00BA18B1">
        <w:rPr>
          <w:rFonts w:ascii="Verdana" w:hAnsi="Verdana" w:cs="Arial"/>
          <w:sz w:val="20"/>
          <w:szCs w:val="20"/>
        </w:rPr>
        <w:t>l</w:t>
      </w:r>
      <w:r w:rsidR="008E3934">
        <w:rPr>
          <w:rFonts w:ascii="Verdana" w:hAnsi="Verdana" w:cs="Arial"/>
          <w:sz w:val="20"/>
          <w:szCs w:val="20"/>
        </w:rPr>
        <w:t xml:space="preserve"> where it is deemed that the complexity </w:t>
      </w:r>
      <w:r w:rsidR="008E3934">
        <w:rPr>
          <w:rFonts w:ascii="Verdana" w:hAnsi="Verdana" w:cs="Arial"/>
          <w:sz w:val="20"/>
          <w:szCs w:val="20"/>
        </w:rPr>
        <w:lastRenderedPageBreak/>
        <w:t xml:space="preserve">of the issues require </w:t>
      </w:r>
      <w:r w:rsidR="002075ED">
        <w:rPr>
          <w:rFonts w:ascii="Verdana" w:hAnsi="Verdana" w:cs="Arial"/>
          <w:sz w:val="20"/>
          <w:szCs w:val="20"/>
        </w:rPr>
        <w:t>a hearing that will involve the student and potentially other witnesses.</w:t>
      </w:r>
    </w:p>
    <w:p w14:paraId="6AB9BDDE" w14:textId="77777777" w:rsidR="00EF1DDC" w:rsidRPr="004F76E7" w:rsidRDefault="00EF1DDC" w:rsidP="002A6CDF">
      <w:pPr>
        <w:pStyle w:val="NoSpacing"/>
        <w:rPr>
          <w:rFonts w:ascii="Verdana" w:hAnsi="Verdana"/>
          <w:b/>
          <w:sz w:val="20"/>
          <w:szCs w:val="20"/>
        </w:rPr>
      </w:pPr>
    </w:p>
    <w:p w14:paraId="72B5EF80" w14:textId="77777777" w:rsidR="004F76E7" w:rsidRPr="004F76E7" w:rsidRDefault="00C05C6A" w:rsidP="004F76E7">
      <w:pPr>
        <w:pStyle w:val="ListParagraph"/>
        <w:numPr>
          <w:ilvl w:val="0"/>
          <w:numId w:val="1"/>
        </w:numPr>
        <w:tabs>
          <w:tab w:val="left" w:pos="-1418"/>
        </w:tabs>
        <w:ind w:left="1134" w:right="34" w:hanging="1134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Assessment Appeals </w:t>
      </w:r>
      <w:r w:rsidR="001A0802">
        <w:rPr>
          <w:rFonts w:ascii="Verdana" w:hAnsi="Verdana" w:cs="Arial"/>
          <w:b/>
          <w:bCs/>
          <w:sz w:val="20"/>
          <w:szCs w:val="20"/>
        </w:rPr>
        <w:t>Panel</w:t>
      </w:r>
    </w:p>
    <w:p w14:paraId="48B1EA06" w14:textId="77777777" w:rsidR="004F76E7" w:rsidRPr="004F76E7" w:rsidRDefault="004F76E7" w:rsidP="004F76E7">
      <w:pPr>
        <w:pStyle w:val="ListParagraph"/>
        <w:tabs>
          <w:tab w:val="left" w:pos="-1418"/>
        </w:tabs>
        <w:ind w:left="1134" w:right="34"/>
        <w:rPr>
          <w:rFonts w:ascii="Verdana" w:hAnsi="Verdana" w:cs="Arial"/>
          <w:sz w:val="20"/>
          <w:szCs w:val="20"/>
        </w:rPr>
      </w:pPr>
    </w:p>
    <w:p w14:paraId="6C6BD101" w14:textId="49DBF152" w:rsidR="004F76E7" w:rsidRPr="005A2796" w:rsidRDefault="004F76E7" w:rsidP="005A2796">
      <w:pPr>
        <w:pStyle w:val="ListParagraph"/>
        <w:numPr>
          <w:ilvl w:val="1"/>
          <w:numId w:val="1"/>
        </w:numPr>
        <w:tabs>
          <w:tab w:val="left" w:pos="-1418"/>
        </w:tabs>
        <w:ind w:left="1134" w:right="34" w:hanging="1134"/>
        <w:jc w:val="left"/>
        <w:rPr>
          <w:rFonts w:ascii="Verdana" w:hAnsi="Verdana" w:cs="Arial"/>
          <w:sz w:val="20"/>
          <w:szCs w:val="20"/>
        </w:rPr>
      </w:pPr>
      <w:r w:rsidRPr="004F76E7">
        <w:rPr>
          <w:rFonts w:ascii="Verdana" w:hAnsi="Verdana" w:cs="Arial"/>
          <w:bCs/>
          <w:sz w:val="20"/>
          <w:szCs w:val="20"/>
        </w:rPr>
        <w:t xml:space="preserve">The </w:t>
      </w:r>
      <w:r w:rsidR="0034641C">
        <w:rPr>
          <w:rFonts w:ascii="Verdana" w:hAnsi="Verdana" w:cs="Arial"/>
          <w:bCs/>
          <w:sz w:val="20"/>
          <w:szCs w:val="20"/>
        </w:rPr>
        <w:t xml:space="preserve">Assessment Appeals </w:t>
      </w:r>
      <w:r w:rsidR="001A0802">
        <w:rPr>
          <w:rFonts w:ascii="Verdana" w:hAnsi="Verdana" w:cs="Arial"/>
          <w:bCs/>
          <w:sz w:val="20"/>
          <w:szCs w:val="20"/>
        </w:rPr>
        <w:t>Panel</w:t>
      </w:r>
      <w:r w:rsidRPr="004F76E7">
        <w:rPr>
          <w:rFonts w:ascii="Verdana" w:hAnsi="Verdana" w:cs="Arial"/>
          <w:bCs/>
          <w:sz w:val="20"/>
          <w:szCs w:val="20"/>
        </w:rPr>
        <w:t xml:space="preserve"> </w:t>
      </w:r>
      <w:r w:rsidR="0034641C">
        <w:rPr>
          <w:rFonts w:ascii="Verdana" w:hAnsi="Verdana" w:cs="Arial"/>
          <w:bCs/>
          <w:sz w:val="20"/>
          <w:szCs w:val="20"/>
        </w:rPr>
        <w:t>will be chaired by</w:t>
      </w:r>
      <w:r w:rsidR="00FD5A1D">
        <w:rPr>
          <w:rFonts w:ascii="Verdana" w:hAnsi="Verdana" w:cs="Arial"/>
          <w:bCs/>
          <w:sz w:val="20"/>
          <w:szCs w:val="20"/>
        </w:rPr>
        <w:t xml:space="preserve"> the </w:t>
      </w:r>
      <w:r w:rsidR="005569E3">
        <w:rPr>
          <w:rFonts w:ascii="Verdana" w:hAnsi="Verdana" w:cs="Arial"/>
          <w:bCs/>
          <w:sz w:val="20"/>
          <w:szCs w:val="20"/>
        </w:rPr>
        <w:t>Assistan</w:t>
      </w:r>
      <w:r w:rsidR="002A5F72">
        <w:rPr>
          <w:rFonts w:ascii="Verdana" w:hAnsi="Verdana" w:cs="Arial"/>
          <w:bCs/>
          <w:sz w:val="20"/>
          <w:szCs w:val="20"/>
        </w:rPr>
        <w:t>t</w:t>
      </w:r>
      <w:r w:rsidR="005569E3">
        <w:rPr>
          <w:rFonts w:ascii="Verdana" w:hAnsi="Verdana" w:cs="Arial"/>
          <w:bCs/>
          <w:sz w:val="20"/>
          <w:szCs w:val="20"/>
        </w:rPr>
        <w:t xml:space="preserve"> </w:t>
      </w:r>
      <w:r w:rsidR="005D580E">
        <w:rPr>
          <w:rFonts w:ascii="Verdana" w:hAnsi="Verdana" w:cs="Arial"/>
          <w:bCs/>
          <w:sz w:val="20"/>
          <w:szCs w:val="20"/>
        </w:rPr>
        <w:t>Principal Curriculum and Quality</w:t>
      </w:r>
      <w:r w:rsidR="0034641C">
        <w:rPr>
          <w:rFonts w:ascii="Verdana" w:hAnsi="Verdana" w:cs="Arial"/>
          <w:bCs/>
          <w:sz w:val="20"/>
          <w:szCs w:val="20"/>
        </w:rPr>
        <w:t xml:space="preserve"> </w:t>
      </w:r>
      <w:r w:rsidR="00FD5A1D">
        <w:rPr>
          <w:rFonts w:ascii="Verdana" w:hAnsi="Verdana" w:cs="Arial"/>
          <w:bCs/>
          <w:sz w:val="20"/>
          <w:szCs w:val="20"/>
        </w:rPr>
        <w:t xml:space="preserve">and </w:t>
      </w:r>
      <w:r w:rsidR="007862E2">
        <w:rPr>
          <w:rFonts w:ascii="Verdana" w:hAnsi="Verdana" w:cs="Arial"/>
          <w:bCs/>
          <w:sz w:val="20"/>
          <w:szCs w:val="20"/>
        </w:rPr>
        <w:t xml:space="preserve">will include 2 </w:t>
      </w:r>
      <w:r w:rsidR="008F110F">
        <w:rPr>
          <w:rFonts w:ascii="Verdana" w:hAnsi="Verdana" w:cs="Arial"/>
          <w:bCs/>
          <w:sz w:val="20"/>
          <w:szCs w:val="20"/>
        </w:rPr>
        <w:t xml:space="preserve">academic staff </w:t>
      </w:r>
      <w:r w:rsidR="007862E2">
        <w:rPr>
          <w:rFonts w:ascii="Verdana" w:hAnsi="Verdana" w:cs="Arial"/>
          <w:bCs/>
          <w:sz w:val="20"/>
          <w:szCs w:val="20"/>
        </w:rPr>
        <w:t>members</w:t>
      </w:r>
      <w:r w:rsidR="007E1DDA">
        <w:rPr>
          <w:rFonts w:ascii="Verdana" w:hAnsi="Verdana" w:cs="Arial"/>
          <w:bCs/>
          <w:sz w:val="20"/>
          <w:szCs w:val="20"/>
        </w:rPr>
        <w:t>.</w:t>
      </w:r>
      <w:r w:rsidR="007A26E5">
        <w:rPr>
          <w:rFonts w:ascii="Verdana" w:hAnsi="Verdana" w:cs="Arial"/>
          <w:bCs/>
          <w:sz w:val="20"/>
          <w:szCs w:val="20"/>
        </w:rPr>
        <w:br/>
      </w:r>
    </w:p>
    <w:p w14:paraId="7F3DF19F" w14:textId="77777777" w:rsidR="005A2796" w:rsidRDefault="001279A7" w:rsidP="001279A7">
      <w:pPr>
        <w:pStyle w:val="ListParagraph"/>
        <w:numPr>
          <w:ilvl w:val="1"/>
          <w:numId w:val="1"/>
        </w:numPr>
        <w:tabs>
          <w:tab w:val="left" w:pos="-1418"/>
        </w:tabs>
        <w:ind w:left="1134" w:right="34" w:hanging="1134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The student</w:t>
      </w:r>
      <w:r w:rsidR="005A2796">
        <w:rPr>
          <w:rFonts w:ascii="Verdana" w:hAnsi="Verdana" w:cs="Arial"/>
          <w:sz w:val="20"/>
          <w:szCs w:val="20"/>
        </w:rPr>
        <w:t xml:space="preserve"> will be notified at least 10 working days in advance of the scheduled meeting</w:t>
      </w:r>
      <w:r w:rsidR="007755CE">
        <w:rPr>
          <w:rFonts w:ascii="Verdana" w:hAnsi="Verdana" w:cs="Arial"/>
          <w:sz w:val="20"/>
          <w:szCs w:val="20"/>
        </w:rPr>
        <w:t>, and will be sent a copy of the d</w:t>
      </w:r>
      <w:r w:rsidR="009A3424">
        <w:rPr>
          <w:rFonts w:ascii="Verdana" w:hAnsi="Verdana" w:cs="Arial"/>
          <w:sz w:val="20"/>
          <w:szCs w:val="20"/>
        </w:rPr>
        <w:t>ocumentation to be considered, including the names of any staff invited to give evidence.</w:t>
      </w:r>
      <w:r>
        <w:rPr>
          <w:rFonts w:ascii="Verdana" w:hAnsi="Verdana" w:cs="Arial"/>
          <w:sz w:val="20"/>
          <w:szCs w:val="20"/>
        </w:rPr>
        <w:br/>
      </w:r>
    </w:p>
    <w:p w14:paraId="066B4E16" w14:textId="15C5C191" w:rsidR="009A3424" w:rsidRDefault="001279A7" w:rsidP="00F14B1A">
      <w:pPr>
        <w:pStyle w:val="ListParagraph"/>
        <w:numPr>
          <w:ilvl w:val="1"/>
          <w:numId w:val="1"/>
        </w:numPr>
        <w:tabs>
          <w:tab w:val="left" w:pos="-1418"/>
        </w:tabs>
        <w:ind w:left="1134" w:right="34" w:hanging="1134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The student will be invited to attend the meeting to substantiate their case for review.  The student will be informed of the right to be accompanied by a fellow student or a representative from the Students’ Union who can speak on their behalf.  </w:t>
      </w:r>
      <w:r w:rsidR="007A26E5">
        <w:rPr>
          <w:rFonts w:ascii="Verdana" w:hAnsi="Verdana" w:cs="Arial"/>
          <w:sz w:val="20"/>
          <w:szCs w:val="20"/>
        </w:rPr>
        <w:t>A student may not be rep</w:t>
      </w:r>
      <w:r>
        <w:rPr>
          <w:rFonts w:ascii="Verdana" w:hAnsi="Verdana" w:cs="Arial"/>
          <w:sz w:val="20"/>
          <w:szCs w:val="20"/>
        </w:rPr>
        <w:t>resented by a member of the legal profession engaged to act in a professional capacity.</w:t>
      </w:r>
      <w:r w:rsidR="00712D8F">
        <w:rPr>
          <w:rFonts w:ascii="Verdana" w:hAnsi="Verdana" w:cs="Arial"/>
          <w:sz w:val="20"/>
          <w:szCs w:val="20"/>
        </w:rPr>
        <w:t xml:space="preserve">  If the student wishes </w:t>
      </w:r>
      <w:r w:rsidR="007A26E5">
        <w:rPr>
          <w:rFonts w:ascii="Verdana" w:hAnsi="Verdana" w:cs="Arial"/>
          <w:sz w:val="20"/>
          <w:szCs w:val="20"/>
        </w:rPr>
        <w:t>any witnesses to present evidence</w:t>
      </w:r>
      <w:r w:rsidR="00712D8F">
        <w:rPr>
          <w:rFonts w:ascii="Verdana" w:hAnsi="Verdana" w:cs="Arial"/>
          <w:sz w:val="20"/>
          <w:szCs w:val="20"/>
        </w:rPr>
        <w:t>, the</w:t>
      </w:r>
      <w:r w:rsidR="00F14B1A">
        <w:rPr>
          <w:rFonts w:ascii="Verdana" w:hAnsi="Verdana" w:cs="Arial"/>
          <w:sz w:val="20"/>
          <w:szCs w:val="20"/>
        </w:rPr>
        <w:t>ir full names and contact details mus</w:t>
      </w:r>
      <w:r w:rsidR="00712D8F">
        <w:rPr>
          <w:rFonts w:ascii="Verdana" w:hAnsi="Verdana" w:cs="Arial"/>
          <w:sz w:val="20"/>
          <w:szCs w:val="20"/>
        </w:rPr>
        <w:t xml:space="preserve">t be notified </w:t>
      </w:r>
      <w:r w:rsidR="001015D7">
        <w:rPr>
          <w:rFonts w:ascii="Verdana" w:hAnsi="Verdana" w:cs="Arial"/>
          <w:sz w:val="20"/>
          <w:szCs w:val="20"/>
        </w:rPr>
        <w:t xml:space="preserve">in writing </w:t>
      </w:r>
      <w:r w:rsidR="00712D8F">
        <w:rPr>
          <w:rFonts w:ascii="Verdana" w:hAnsi="Verdana" w:cs="Arial"/>
          <w:sz w:val="20"/>
          <w:szCs w:val="20"/>
        </w:rPr>
        <w:t xml:space="preserve">to the </w:t>
      </w:r>
      <w:r w:rsidR="002A5F72">
        <w:rPr>
          <w:rFonts w:ascii="Verdana" w:hAnsi="Verdana" w:cs="Arial"/>
          <w:bCs/>
          <w:sz w:val="20"/>
          <w:szCs w:val="20"/>
        </w:rPr>
        <w:t xml:space="preserve">Assistant </w:t>
      </w:r>
      <w:r w:rsidR="005D580E">
        <w:rPr>
          <w:rFonts w:ascii="Verdana" w:hAnsi="Verdana" w:cs="Arial"/>
          <w:bCs/>
          <w:sz w:val="20"/>
          <w:szCs w:val="20"/>
        </w:rPr>
        <w:t xml:space="preserve">Principal Curriculum and Quality </w:t>
      </w:r>
      <w:r w:rsidR="00712D8F">
        <w:rPr>
          <w:rFonts w:ascii="Verdana" w:hAnsi="Verdana" w:cs="Arial"/>
          <w:sz w:val="20"/>
          <w:szCs w:val="20"/>
        </w:rPr>
        <w:t>at lea</w:t>
      </w:r>
      <w:r w:rsidR="00F14B1A">
        <w:rPr>
          <w:rFonts w:ascii="Verdana" w:hAnsi="Verdana" w:cs="Arial"/>
          <w:sz w:val="20"/>
          <w:szCs w:val="20"/>
        </w:rPr>
        <w:t>st 5 days prior to the meeting.</w:t>
      </w:r>
      <w:r w:rsidR="00F14B1A">
        <w:rPr>
          <w:rFonts w:ascii="Verdana" w:hAnsi="Verdana" w:cs="Arial"/>
          <w:sz w:val="20"/>
          <w:szCs w:val="20"/>
        </w:rPr>
        <w:br/>
      </w:r>
    </w:p>
    <w:p w14:paraId="5D9F5611" w14:textId="77777777" w:rsidR="00F14B1A" w:rsidRDefault="00F14B1A" w:rsidP="004F76E7">
      <w:pPr>
        <w:pStyle w:val="ListParagraph"/>
        <w:numPr>
          <w:ilvl w:val="1"/>
          <w:numId w:val="1"/>
        </w:numPr>
        <w:tabs>
          <w:tab w:val="left" w:pos="-1418"/>
        </w:tabs>
        <w:ind w:left="1134" w:right="34" w:hanging="1134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The person chairing the Assessment/Award Board will normally be invited to the meeting to put the case of the Assessment/Award Board for this particular appeal.</w:t>
      </w:r>
      <w:r w:rsidR="00CA56DA">
        <w:rPr>
          <w:rFonts w:ascii="Verdana" w:hAnsi="Verdana" w:cs="Arial"/>
          <w:sz w:val="20"/>
          <w:szCs w:val="20"/>
        </w:rPr>
        <w:br/>
      </w:r>
    </w:p>
    <w:p w14:paraId="44B5AD3B" w14:textId="77777777" w:rsidR="00F14B1A" w:rsidRDefault="00CA56DA" w:rsidP="00CA56DA">
      <w:pPr>
        <w:pStyle w:val="ListParagraph"/>
        <w:numPr>
          <w:ilvl w:val="1"/>
          <w:numId w:val="1"/>
        </w:numPr>
        <w:tabs>
          <w:tab w:val="left" w:pos="-1418"/>
        </w:tabs>
        <w:ind w:left="1134" w:right="34" w:hanging="1134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Non-attendance by the student will not invalidate the proceedings and the chair will determine whether or not to proceed with the meeting.</w:t>
      </w:r>
      <w:r>
        <w:rPr>
          <w:rFonts w:ascii="Verdana" w:hAnsi="Verdana" w:cs="Arial"/>
          <w:sz w:val="20"/>
          <w:szCs w:val="20"/>
        </w:rPr>
        <w:br/>
      </w:r>
    </w:p>
    <w:p w14:paraId="08C38F39" w14:textId="77777777" w:rsidR="00CA56DA" w:rsidRDefault="00CA56DA" w:rsidP="00BA18B1">
      <w:pPr>
        <w:pStyle w:val="ListParagraph"/>
        <w:numPr>
          <w:ilvl w:val="1"/>
          <w:numId w:val="1"/>
        </w:numPr>
        <w:tabs>
          <w:tab w:val="left" w:pos="-1418"/>
        </w:tabs>
        <w:ind w:left="1134" w:right="34" w:hanging="1134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The proceedings will be h</w:t>
      </w:r>
      <w:r w:rsidR="005F3C9B">
        <w:rPr>
          <w:rFonts w:ascii="Verdana" w:hAnsi="Verdana" w:cs="Arial"/>
          <w:sz w:val="20"/>
          <w:szCs w:val="20"/>
        </w:rPr>
        <w:t>e</w:t>
      </w:r>
      <w:r>
        <w:rPr>
          <w:rFonts w:ascii="Verdana" w:hAnsi="Verdana" w:cs="Arial"/>
          <w:sz w:val="20"/>
          <w:szCs w:val="20"/>
        </w:rPr>
        <w:t>ard in private</w:t>
      </w:r>
      <w:r w:rsidR="000478E2">
        <w:rPr>
          <w:rFonts w:ascii="Verdana" w:hAnsi="Verdana" w:cs="Arial"/>
          <w:sz w:val="20"/>
          <w:szCs w:val="20"/>
        </w:rPr>
        <w:t xml:space="preserve"> and the procedure will be determined by the Chair in consultation with the other members of the </w:t>
      </w:r>
      <w:r w:rsidR="001A0802">
        <w:rPr>
          <w:rFonts w:ascii="Verdana" w:hAnsi="Verdana" w:cs="Arial"/>
          <w:sz w:val="20"/>
          <w:szCs w:val="20"/>
        </w:rPr>
        <w:t>Pane</w:t>
      </w:r>
      <w:r w:rsidR="00BA18B1">
        <w:rPr>
          <w:rFonts w:ascii="Verdana" w:hAnsi="Verdana" w:cs="Arial"/>
          <w:sz w:val="20"/>
          <w:szCs w:val="20"/>
        </w:rPr>
        <w:t>l</w:t>
      </w:r>
      <w:r w:rsidR="000478E2">
        <w:rPr>
          <w:rFonts w:ascii="Verdana" w:hAnsi="Verdana" w:cs="Arial"/>
          <w:sz w:val="20"/>
          <w:szCs w:val="20"/>
        </w:rPr>
        <w:t>.</w:t>
      </w:r>
      <w:r w:rsidR="00BA18B1">
        <w:rPr>
          <w:rFonts w:ascii="Verdana" w:hAnsi="Verdana" w:cs="Arial"/>
          <w:sz w:val="20"/>
          <w:szCs w:val="20"/>
        </w:rPr>
        <w:br/>
      </w:r>
    </w:p>
    <w:p w14:paraId="515A2891" w14:textId="77777777" w:rsidR="008E3BD2" w:rsidRDefault="00B571F6" w:rsidP="00001B4E">
      <w:pPr>
        <w:pStyle w:val="ListParagraph"/>
        <w:numPr>
          <w:ilvl w:val="1"/>
          <w:numId w:val="1"/>
        </w:numPr>
        <w:tabs>
          <w:tab w:val="left" w:pos="-1418"/>
        </w:tabs>
        <w:ind w:left="1134" w:right="34" w:hanging="1134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The Panel’s decision shall either be:</w:t>
      </w:r>
      <w:r w:rsidR="008E3BD2">
        <w:rPr>
          <w:rFonts w:ascii="Verdana" w:hAnsi="Verdana" w:cs="Arial"/>
          <w:sz w:val="20"/>
          <w:szCs w:val="20"/>
        </w:rPr>
        <w:br/>
      </w:r>
    </w:p>
    <w:p w14:paraId="0AD3189F" w14:textId="77777777" w:rsidR="0047643A" w:rsidRDefault="008E3BD2" w:rsidP="008E3BD2">
      <w:pPr>
        <w:pStyle w:val="ListParagraph"/>
        <w:numPr>
          <w:ilvl w:val="0"/>
          <w:numId w:val="23"/>
        </w:numPr>
        <w:tabs>
          <w:tab w:val="left" w:pos="-1418"/>
        </w:tabs>
        <w:ind w:right="34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That </w:t>
      </w:r>
      <w:r w:rsidR="0047643A">
        <w:rPr>
          <w:rFonts w:ascii="Verdana" w:hAnsi="Verdana" w:cs="Arial"/>
          <w:sz w:val="20"/>
          <w:szCs w:val="20"/>
        </w:rPr>
        <w:t>grounds for review have been established and the Assessment/Award Board will be required to review its decision in the light of these grounds.</w:t>
      </w:r>
      <w:r w:rsidR="00B77F9B">
        <w:rPr>
          <w:rFonts w:ascii="Verdana" w:hAnsi="Verdana" w:cs="Arial"/>
          <w:sz w:val="20"/>
          <w:szCs w:val="20"/>
        </w:rPr>
        <w:br/>
      </w:r>
    </w:p>
    <w:p w14:paraId="5F644C59" w14:textId="77777777" w:rsidR="008F6B92" w:rsidRDefault="008F6B92" w:rsidP="008E3BD2">
      <w:pPr>
        <w:pStyle w:val="ListParagraph"/>
        <w:tabs>
          <w:tab w:val="left" w:pos="-1418"/>
        </w:tabs>
        <w:ind w:left="1440" w:right="34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Or </w:t>
      </w:r>
    </w:p>
    <w:p w14:paraId="25D1E234" w14:textId="77777777" w:rsidR="008F6B92" w:rsidRDefault="008F6B92" w:rsidP="008F6B92">
      <w:pPr>
        <w:pStyle w:val="ListParagraph"/>
        <w:tabs>
          <w:tab w:val="left" w:pos="-1418"/>
        </w:tabs>
        <w:ind w:right="34"/>
        <w:jc w:val="left"/>
        <w:rPr>
          <w:rFonts w:ascii="Verdana" w:hAnsi="Verdana" w:cs="Arial"/>
          <w:sz w:val="20"/>
          <w:szCs w:val="20"/>
        </w:rPr>
      </w:pPr>
    </w:p>
    <w:p w14:paraId="7FDF9FA1" w14:textId="77777777" w:rsidR="008F6B92" w:rsidRPr="008E3BD2" w:rsidRDefault="008F6B92" w:rsidP="008E3BD2">
      <w:pPr>
        <w:pStyle w:val="ListParagraph"/>
        <w:numPr>
          <w:ilvl w:val="0"/>
          <w:numId w:val="23"/>
        </w:numPr>
        <w:tabs>
          <w:tab w:val="left" w:pos="-1418"/>
        </w:tabs>
        <w:ind w:right="34"/>
        <w:rPr>
          <w:rFonts w:ascii="Verdana" w:hAnsi="Verdana" w:cs="Arial"/>
          <w:sz w:val="20"/>
          <w:szCs w:val="20"/>
        </w:rPr>
      </w:pPr>
      <w:r w:rsidRPr="008E3BD2">
        <w:rPr>
          <w:rFonts w:ascii="Verdana" w:hAnsi="Verdana" w:cs="Arial"/>
          <w:sz w:val="20"/>
          <w:szCs w:val="20"/>
        </w:rPr>
        <w:t>That no grounds for review have been established and the appeal will be rejected.</w:t>
      </w:r>
    </w:p>
    <w:p w14:paraId="40FBF347" w14:textId="77777777" w:rsidR="00BA18B1" w:rsidRDefault="008F6B92" w:rsidP="008F6B92">
      <w:pPr>
        <w:pStyle w:val="ListParagraph"/>
        <w:tabs>
          <w:tab w:val="left" w:pos="-1418"/>
        </w:tabs>
        <w:ind w:right="34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</w:p>
    <w:p w14:paraId="1CB0B426" w14:textId="77777777" w:rsidR="003A7170" w:rsidRPr="00B77F9B" w:rsidRDefault="003A7170" w:rsidP="008E3BD2">
      <w:pPr>
        <w:pStyle w:val="ListParagraph"/>
        <w:numPr>
          <w:ilvl w:val="1"/>
          <w:numId w:val="1"/>
        </w:numPr>
        <w:tabs>
          <w:tab w:val="left" w:pos="-1418"/>
        </w:tabs>
        <w:ind w:left="1134" w:right="34" w:hanging="1134"/>
        <w:jc w:val="left"/>
        <w:rPr>
          <w:rFonts w:ascii="Verdana" w:hAnsi="Verdana" w:cs="Arial"/>
          <w:sz w:val="20"/>
          <w:szCs w:val="20"/>
        </w:rPr>
      </w:pPr>
      <w:r w:rsidRPr="00B77F9B">
        <w:rPr>
          <w:rFonts w:ascii="Verdana" w:hAnsi="Verdana"/>
          <w:sz w:val="20"/>
          <w:szCs w:val="20"/>
        </w:rPr>
        <w:t>The student and the Chair of the Assessment/Award Board will be informed in writing of the Panel’s decision and the reasons for these</w:t>
      </w:r>
      <w:r w:rsidR="00156C88" w:rsidRPr="00B77F9B">
        <w:rPr>
          <w:rFonts w:ascii="Verdana" w:hAnsi="Verdana"/>
          <w:sz w:val="20"/>
          <w:szCs w:val="20"/>
        </w:rPr>
        <w:t xml:space="preserve"> within 7 working days of the conclusion of the hearing.</w:t>
      </w:r>
      <w:r w:rsidR="008E3BD2">
        <w:rPr>
          <w:rFonts w:ascii="Verdana" w:hAnsi="Verdana"/>
          <w:sz w:val="20"/>
          <w:szCs w:val="20"/>
        </w:rPr>
        <w:br/>
      </w:r>
    </w:p>
    <w:p w14:paraId="41FBE8FA" w14:textId="77777777" w:rsidR="00384EF9" w:rsidRPr="00E15E29" w:rsidRDefault="008E3BD2" w:rsidP="002A6CDF">
      <w:pPr>
        <w:pStyle w:val="ListParagraph"/>
        <w:numPr>
          <w:ilvl w:val="1"/>
          <w:numId w:val="1"/>
        </w:numPr>
        <w:tabs>
          <w:tab w:val="left" w:pos="-1418"/>
        </w:tabs>
        <w:ind w:left="1134" w:right="34" w:hanging="1134"/>
        <w:rPr>
          <w:rFonts w:ascii="Verdana" w:hAnsi="Verdana"/>
          <w:b/>
          <w:sz w:val="20"/>
          <w:szCs w:val="20"/>
        </w:rPr>
      </w:pPr>
      <w:r w:rsidRPr="006C7C2C">
        <w:rPr>
          <w:rFonts w:ascii="Verdana" w:hAnsi="Verdana" w:cs="Arial"/>
          <w:sz w:val="20"/>
          <w:szCs w:val="20"/>
        </w:rPr>
        <w:t xml:space="preserve">The proceedings of the </w:t>
      </w:r>
      <w:r w:rsidR="004F23E4" w:rsidRPr="006C7C2C">
        <w:rPr>
          <w:rFonts w:ascii="Verdana" w:hAnsi="Verdana" w:cs="Arial"/>
          <w:sz w:val="20"/>
          <w:szCs w:val="20"/>
        </w:rPr>
        <w:t>Panel, other than the actual decision, will remain confidential to Panel members.</w:t>
      </w:r>
    </w:p>
    <w:p w14:paraId="78258A1F" w14:textId="77777777" w:rsidR="00E15E29" w:rsidRDefault="00E15E29" w:rsidP="00E15E29">
      <w:pPr>
        <w:tabs>
          <w:tab w:val="left" w:pos="-1418"/>
        </w:tabs>
        <w:ind w:right="34"/>
        <w:rPr>
          <w:rFonts w:ascii="Verdana" w:hAnsi="Verdana"/>
          <w:b/>
          <w:sz w:val="20"/>
          <w:szCs w:val="20"/>
        </w:rPr>
      </w:pPr>
    </w:p>
    <w:p w14:paraId="5330B628" w14:textId="77777777" w:rsidR="004430B3" w:rsidRDefault="00E15E29" w:rsidP="004430B3">
      <w:pPr>
        <w:pStyle w:val="NoSpacing"/>
        <w:ind w:left="1134" w:hanging="1134"/>
        <w:rPr>
          <w:rFonts w:ascii="Verdana" w:hAnsi="Verdana"/>
          <w:sz w:val="20"/>
          <w:szCs w:val="20"/>
        </w:rPr>
      </w:pPr>
      <w:r w:rsidRPr="004430B3">
        <w:rPr>
          <w:rFonts w:ascii="Verdana" w:hAnsi="Verdana"/>
          <w:b/>
          <w:sz w:val="20"/>
          <w:szCs w:val="20"/>
        </w:rPr>
        <w:t>4</w:t>
      </w:r>
      <w:r w:rsidR="004430B3" w:rsidRPr="004430B3">
        <w:rPr>
          <w:rFonts w:ascii="Verdana" w:hAnsi="Verdana"/>
          <w:b/>
          <w:sz w:val="20"/>
          <w:szCs w:val="20"/>
        </w:rPr>
        <w:t>.</w:t>
      </w:r>
      <w:r w:rsidRPr="004430B3">
        <w:rPr>
          <w:rFonts w:ascii="Verdana" w:hAnsi="Verdana"/>
          <w:sz w:val="20"/>
          <w:szCs w:val="20"/>
        </w:rPr>
        <w:tab/>
      </w:r>
      <w:r w:rsidR="004430B3" w:rsidRPr="004430B3">
        <w:rPr>
          <w:rFonts w:ascii="Verdana" w:hAnsi="Verdana"/>
          <w:b/>
          <w:sz w:val="20"/>
          <w:szCs w:val="20"/>
        </w:rPr>
        <w:t>Reconvened Assessment/Award Board</w:t>
      </w:r>
    </w:p>
    <w:p w14:paraId="0EC8EFC8" w14:textId="77777777" w:rsidR="004430B3" w:rsidRDefault="004430B3" w:rsidP="004430B3">
      <w:pPr>
        <w:pStyle w:val="NoSpacing"/>
        <w:ind w:left="1134" w:hanging="1134"/>
        <w:rPr>
          <w:rFonts w:ascii="Verdana" w:hAnsi="Verdana"/>
          <w:sz w:val="20"/>
          <w:szCs w:val="20"/>
        </w:rPr>
      </w:pPr>
    </w:p>
    <w:p w14:paraId="4DA37790" w14:textId="77777777" w:rsidR="00E15E29" w:rsidRDefault="0036788C" w:rsidP="004430B3">
      <w:pPr>
        <w:pStyle w:val="NoSpacing"/>
        <w:ind w:left="1134"/>
        <w:rPr>
          <w:rFonts w:ascii="Verdana" w:hAnsi="Verdana"/>
          <w:sz w:val="20"/>
          <w:szCs w:val="20"/>
        </w:rPr>
      </w:pPr>
      <w:r w:rsidRPr="004430B3">
        <w:rPr>
          <w:rFonts w:ascii="Verdana" w:hAnsi="Verdana"/>
          <w:sz w:val="20"/>
          <w:szCs w:val="20"/>
        </w:rPr>
        <w:t xml:space="preserve">If the Assessment/Award Board is required to reconvene, it will do so at the earliest opportunity.  The reconvened Board will </w:t>
      </w:r>
      <w:r w:rsidR="00703210" w:rsidRPr="004430B3">
        <w:rPr>
          <w:rFonts w:ascii="Verdana" w:hAnsi="Verdana"/>
          <w:sz w:val="20"/>
          <w:szCs w:val="20"/>
        </w:rPr>
        <w:t xml:space="preserve">give full </w:t>
      </w:r>
      <w:r w:rsidRPr="004430B3">
        <w:rPr>
          <w:rFonts w:ascii="Verdana" w:hAnsi="Verdana"/>
          <w:sz w:val="20"/>
          <w:szCs w:val="20"/>
        </w:rPr>
        <w:t>consider</w:t>
      </w:r>
      <w:r w:rsidR="00703210" w:rsidRPr="004430B3">
        <w:rPr>
          <w:rFonts w:ascii="Verdana" w:hAnsi="Verdana"/>
          <w:sz w:val="20"/>
          <w:szCs w:val="20"/>
        </w:rPr>
        <w:t xml:space="preserve">ation to </w:t>
      </w:r>
      <w:r w:rsidRPr="004430B3">
        <w:rPr>
          <w:rFonts w:ascii="Verdana" w:hAnsi="Verdana"/>
          <w:sz w:val="20"/>
          <w:szCs w:val="20"/>
        </w:rPr>
        <w:t>the grounds referred to it</w:t>
      </w:r>
      <w:r w:rsidR="00703210" w:rsidRPr="004430B3">
        <w:rPr>
          <w:rFonts w:ascii="Verdana" w:hAnsi="Verdana"/>
          <w:sz w:val="20"/>
          <w:szCs w:val="20"/>
        </w:rPr>
        <w:t xml:space="preserve"> and either amend or confirm its original decision.</w:t>
      </w:r>
      <w:r w:rsidR="00C96416" w:rsidRPr="004430B3">
        <w:rPr>
          <w:rFonts w:ascii="Verdana" w:hAnsi="Verdana"/>
          <w:sz w:val="20"/>
          <w:szCs w:val="20"/>
        </w:rPr>
        <w:t xml:space="preserve">  The </w:t>
      </w:r>
      <w:r w:rsidR="00FF52EA" w:rsidRPr="004430B3">
        <w:rPr>
          <w:rFonts w:ascii="Verdana" w:hAnsi="Verdana"/>
          <w:sz w:val="20"/>
          <w:szCs w:val="20"/>
        </w:rPr>
        <w:t>decision</w:t>
      </w:r>
      <w:r w:rsidR="00C96416" w:rsidRPr="004430B3">
        <w:rPr>
          <w:rFonts w:ascii="Verdana" w:hAnsi="Verdana"/>
          <w:sz w:val="20"/>
          <w:szCs w:val="20"/>
        </w:rPr>
        <w:t xml:space="preserve"> will be communicated to the student within 7 working days</w:t>
      </w:r>
      <w:r w:rsidR="004430B3" w:rsidRPr="004430B3">
        <w:rPr>
          <w:rFonts w:ascii="Verdana" w:hAnsi="Verdana"/>
          <w:sz w:val="20"/>
          <w:szCs w:val="20"/>
        </w:rPr>
        <w:t>.</w:t>
      </w:r>
    </w:p>
    <w:p w14:paraId="132EBA17" w14:textId="77777777" w:rsidR="00FF52EA" w:rsidRDefault="00FF52EA" w:rsidP="004430B3">
      <w:pPr>
        <w:pStyle w:val="NoSpacing"/>
        <w:ind w:left="1134"/>
        <w:rPr>
          <w:rFonts w:ascii="Verdana" w:hAnsi="Verdana"/>
          <w:sz w:val="20"/>
          <w:szCs w:val="20"/>
        </w:rPr>
      </w:pPr>
    </w:p>
    <w:p w14:paraId="3102BB44" w14:textId="46B29CC2" w:rsidR="00E15E29" w:rsidRPr="00E15E29" w:rsidRDefault="00B23F89" w:rsidP="00464967">
      <w:pPr>
        <w:pStyle w:val="NoSpacing"/>
        <w:ind w:left="1134" w:hanging="1134"/>
      </w:pPr>
      <w:r>
        <w:rPr>
          <w:rFonts w:ascii="Verdana" w:hAnsi="Verdana"/>
          <w:b/>
          <w:sz w:val="20"/>
          <w:szCs w:val="20"/>
        </w:rPr>
        <w:tab/>
      </w:r>
      <w:r w:rsidR="0052308A">
        <w:rPr>
          <w:rFonts w:ascii="Verdana" w:hAnsi="Verdana"/>
          <w:sz w:val="20"/>
          <w:szCs w:val="20"/>
        </w:rPr>
        <w:t xml:space="preserve">If the student is dissatisfied with the decision of the reconvened Assessment/Award Board, the student may </w:t>
      </w:r>
      <w:r w:rsidR="00B62910">
        <w:rPr>
          <w:rFonts w:ascii="Verdana" w:hAnsi="Verdana"/>
          <w:sz w:val="20"/>
          <w:szCs w:val="20"/>
        </w:rPr>
        <w:t>wish to contact the awarding body in writing.</w:t>
      </w:r>
    </w:p>
    <w:sectPr w:rsidR="00E15E29" w:rsidRPr="00E15E29" w:rsidSect="005C438E">
      <w:headerReference w:type="default" r:id="rId10"/>
      <w:footerReference w:type="default" r:id="rId11"/>
      <w:pgSz w:w="11906" w:h="16838"/>
      <w:pgMar w:top="1017" w:right="849" w:bottom="1440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4561F" w14:textId="77777777" w:rsidR="00BA0E2A" w:rsidRDefault="00BA0E2A" w:rsidP="00FE5D52">
      <w:r>
        <w:separator/>
      </w:r>
    </w:p>
  </w:endnote>
  <w:endnote w:type="continuationSeparator" w:id="0">
    <w:p w14:paraId="2C6321EE" w14:textId="77777777" w:rsidR="00BA0E2A" w:rsidRDefault="00BA0E2A" w:rsidP="00FE5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5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216"/>
      <w:gridCol w:w="1151"/>
      <w:gridCol w:w="1282"/>
      <w:gridCol w:w="1151"/>
      <w:gridCol w:w="1151"/>
      <w:gridCol w:w="1151"/>
      <w:gridCol w:w="1151"/>
      <w:gridCol w:w="1151"/>
      <w:gridCol w:w="1151"/>
    </w:tblGrid>
    <w:tr w:rsidR="00966EE4" w:rsidRPr="00AC7BA6" w14:paraId="133E69E5" w14:textId="77777777" w:rsidTr="00471BB5">
      <w:tc>
        <w:tcPr>
          <w:tcW w:w="1219" w:type="dxa"/>
        </w:tcPr>
        <w:p w14:paraId="56F41698" w14:textId="77777777" w:rsidR="00966EE4" w:rsidRPr="00AC7BA6" w:rsidRDefault="00525F2A" w:rsidP="00AC7BA6">
          <w:pPr>
            <w:pStyle w:val="Footer"/>
            <w:jc w:val="center"/>
            <w:rPr>
              <w:b/>
            </w:rPr>
          </w:pPr>
          <w:r>
            <w:rPr>
              <w:b/>
            </w:rPr>
            <w:t>ISSUE</w:t>
          </w:r>
        </w:p>
      </w:tc>
      <w:tc>
        <w:tcPr>
          <w:tcW w:w="1151" w:type="dxa"/>
        </w:tcPr>
        <w:p w14:paraId="6D13A86C" w14:textId="77777777" w:rsidR="00966EE4" w:rsidRPr="00AC7BA6" w:rsidRDefault="00966EE4" w:rsidP="00AC7BA6">
          <w:pPr>
            <w:pStyle w:val="Footer"/>
            <w:jc w:val="center"/>
            <w:rPr>
              <w:b/>
            </w:rPr>
          </w:pPr>
          <w:r w:rsidRPr="00AC7BA6">
            <w:rPr>
              <w:b/>
            </w:rPr>
            <w:t>0</w:t>
          </w:r>
        </w:p>
      </w:tc>
      <w:tc>
        <w:tcPr>
          <w:tcW w:w="1284" w:type="dxa"/>
        </w:tcPr>
        <w:p w14:paraId="263123F5" w14:textId="77777777" w:rsidR="00966EE4" w:rsidRPr="00AC7BA6" w:rsidRDefault="00966EE4" w:rsidP="00AC7BA6">
          <w:pPr>
            <w:pStyle w:val="Footer"/>
            <w:jc w:val="center"/>
            <w:rPr>
              <w:b/>
            </w:rPr>
          </w:pPr>
          <w:r w:rsidRPr="00AC7BA6">
            <w:rPr>
              <w:b/>
            </w:rPr>
            <w:t>1</w:t>
          </w:r>
        </w:p>
      </w:tc>
      <w:tc>
        <w:tcPr>
          <w:tcW w:w="1151" w:type="dxa"/>
        </w:tcPr>
        <w:p w14:paraId="463D370F" w14:textId="77777777" w:rsidR="00966EE4" w:rsidRPr="00AC7BA6" w:rsidRDefault="00966EE4" w:rsidP="00AC7BA6">
          <w:pPr>
            <w:pStyle w:val="Footer"/>
            <w:jc w:val="center"/>
            <w:rPr>
              <w:b/>
            </w:rPr>
          </w:pPr>
          <w:r w:rsidRPr="00AC7BA6">
            <w:rPr>
              <w:b/>
            </w:rPr>
            <w:t>2</w:t>
          </w:r>
        </w:p>
      </w:tc>
      <w:tc>
        <w:tcPr>
          <w:tcW w:w="1151" w:type="dxa"/>
        </w:tcPr>
        <w:p w14:paraId="3576181C" w14:textId="77777777" w:rsidR="00966EE4" w:rsidRPr="00AC7BA6" w:rsidRDefault="00966EE4" w:rsidP="00AC7BA6">
          <w:pPr>
            <w:pStyle w:val="Footer"/>
            <w:jc w:val="center"/>
            <w:rPr>
              <w:b/>
            </w:rPr>
          </w:pPr>
          <w:r w:rsidRPr="00AC7BA6">
            <w:rPr>
              <w:b/>
            </w:rPr>
            <w:t>3</w:t>
          </w:r>
        </w:p>
      </w:tc>
      <w:tc>
        <w:tcPr>
          <w:tcW w:w="1151" w:type="dxa"/>
        </w:tcPr>
        <w:p w14:paraId="0E87C5F6" w14:textId="77777777" w:rsidR="00966EE4" w:rsidRPr="00AC7BA6" w:rsidRDefault="00966EE4" w:rsidP="00AC7BA6">
          <w:pPr>
            <w:pStyle w:val="Footer"/>
            <w:jc w:val="center"/>
            <w:rPr>
              <w:b/>
            </w:rPr>
          </w:pPr>
          <w:r w:rsidRPr="00AC7BA6">
            <w:rPr>
              <w:b/>
            </w:rPr>
            <w:t>4</w:t>
          </w:r>
        </w:p>
      </w:tc>
      <w:tc>
        <w:tcPr>
          <w:tcW w:w="1151" w:type="dxa"/>
        </w:tcPr>
        <w:p w14:paraId="09C23567" w14:textId="77777777" w:rsidR="00966EE4" w:rsidRPr="00AC7BA6" w:rsidRDefault="00966EE4" w:rsidP="00AC7BA6">
          <w:pPr>
            <w:pStyle w:val="Footer"/>
            <w:jc w:val="center"/>
            <w:rPr>
              <w:b/>
            </w:rPr>
          </w:pPr>
          <w:r w:rsidRPr="00AC7BA6">
            <w:rPr>
              <w:b/>
            </w:rPr>
            <w:t>5</w:t>
          </w:r>
        </w:p>
      </w:tc>
      <w:tc>
        <w:tcPr>
          <w:tcW w:w="1151" w:type="dxa"/>
        </w:tcPr>
        <w:p w14:paraId="7A876B62" w14:textId="77777777" w:rsidR="00966EE4" w:rsidRPr="00AC7BA6" w:rsidRDefault="00966EE4" w:rsidP="00AC7BA6">
          <w:pPr>
            <w:pStyle w:val="Footer"/>
            <w:jc w:val="center"/>
            <w:rPr>
              <w:b/>
            </w:rPr>
          </w:pPr>
          <w:r w:rsidRPr="00AC7BA6">
            <w:rPr>
              <w:b/>
            </w:rPr>
            <w:t>6</w:t>
          </w:r>
        </w:p>
      </w:tc>
      <w:tc>
        <w:tcPr>
          <w:tcW w:w="1146" w:type="dxa"/>
        </w:tcPr>
        <w:p w14:paraId="382F8CEE" w14:textId="77777777" w:rsidR="00966EE4" w:rsidRPr="00AC7BA6" w:rsidRDefault="00966EE4" w:rsidP="00AC7BA6">
          <w:pPr>
            <w:pStyle w:val="Footer"/>
            <w:jc w:val="center"/>
            <w:rPr>
              <w:b/>
            </w:rPr>
          </w:pPr>
          <w:r w:rsidRPr="00AC7BA6">
            <w:rPr>
              <w:b/>
            </w:rPr>
            <w:t>7</w:t>
          </w:r>
        </w:p>
      </w:tc>
    </w:tr>
    <w:tr w:rsidR="00966EE4" w:rsidRPr="00AC7BA6" w14:paraId="49066234" w14:textId="77777777" w:rsidTr="00471BB5">
      <w:tc>
        <w:tcPr>
          <w:tcW w:w="1219" w:type="dxa"/>
        </w:tcPr>
        <w:p w14:paraId="5C712B17" w14:textId="77777777" w:rsidR="00966EE4" w:rsidRPr="00AC7BA6" w:rsidRDefault="00966EE4" w:rsidP="00AC7BA6">
          <w:pPr>
            <w:pStyle w:val="Footer"/>
            <w:jc w:val="center"/>
            <w:rPr>
              <w:b/>
            </w:rPr>
          </w:pPr>
          <w:r w:rsidRPr="00AC7BA6">
            <w:rPr>
              <w:b/>
            </w:rPr>
            <w:t>DATE</w:t>
          </w:r>
        </w:p>
      </w:tc>
      <w:tc>
        <w:tcPr>
          <w:tcW w:w="1151" w:type="dxa"/>
        </w:tcPr>
        <w:p w14:paraId="7C8EF455" w14:textId="77777777" w:rsidR="00966EE4" w:rsidRPr="00AC7BA6" w:rsidRDefault="00B52379" w:rsidP="00AB1C99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20.05.13</w:t>
          </w:r>
        </w:p>
      </w:tc>
      <w:tc>
        <w:tcPr>
          <w:tcW w:w="1284" w:type="dxa"/>
        </w:tcPr>
        <w:p w14:paraId="13405F10" w14:textId="77777777" w:rsidR="00966EE4" w:rsidRPr="00AC7BA6" w:rsidRDefault="00B52379" w:rsidP="00AC7BA6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11.07.14</w:t>
          </w:r>
        </w:p>
      </w:tc>
      <w:tc>
        <w:tcPr>
          <w:tcW w:w="1151" w:type="dxa"/>
        </w:tcPr>
        <w:p w14:paraId="278B97CB" w14:textId="77777777" w:rsidR="00966EE4" w:rsidRPr="00AC7BA6" w:rsidRDefault="00B52379" w:rsidP="00AC7BA6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24.09.15</w:t>
          </w:r>
        </w:p>
      </w:tc>
      <w:tc>
        <w:tcPr>
          <w:tcW w:w="1151" w:type="dxa"/>
        </w:tcPr>
        <w:p w14:paraId="314B1C51" w14:textId="77777777" w:rsidR="00966EE4" w:rsidRPr="00AC7BA6" w:rsidRDefault="00F52D3B" w:rsidP="00F52D3B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18.01.17</w:t>
          </w:r>
        </w:p>
      </w:tc>
      <w:tc>
        <w:tcPr>
          <w:tcW w:w="1151" w:type="dxa"/>
        </w:tcPr>
        <w:p w14:paraId="298A138A" w14:textId="056C7C00" w:rsidR="00966EE4" w:rsidRPr="00AC7BA6" w:rsidRDefault="00C12427" w:rsidP="00AC7BA6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14.09.18</w:t>
          </w:r>
        </w:p>
      </w:tc>
      <w:tc>
        <w:tcPr>
          <w:tcW w:w="1151" w:type="dxa"/>
        </w:tcPr>
        <w:p w14:paraId="311C4CE1" w14:textId="346DF41E" w:rsidR="00966EE4" w:rsidRPr="00AC7BA6" w:rsidRDefault="009123A9" w:rsidP="00AC7BA6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25.04.23</w:t>
          </w:r>
        </w:p>
      </w:tc>
      <w:tc>
        <w:tcPr>
          <w:tcW w:w="1151" w:type="dxa"/>
        </w:tcPr>
        <w:p w14:paraId="25BE32F9" w14:textId="0C3EFDE3" w:rsidR="00966EE4" w:rsidRPr="00AC7BA6" w:rsidRDefault="00947EC9" w:rsidP="00AC7BA6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23.08.23</w:t>
          </w:r>
        </w:p>
      </w:tc>
      <w:tc>
        <w:tcPr>
          <w:tcW w:w="1146" w:type="dxa"/>
        </w:tcPr>
        <w:p w14:paraId="0CB64F21" w14:textId="57E36D95" w:rsidR="00966EE4" w:rsidRPr="00AC7BA6" w:rsidRDefault="00E21D6F" w:rsidP="00AC7BA6">
          <w:pPr>
            <w:jc w:val="center"/>
            <w:rPr>
              <w:rFonts w:cs="Arial"/>
              <w:b/>
            </w:rPr>
          </w:pPr>
          <w:r w:rsidRPr="00E21D6F">
            <w:rPr>
              <w:rFonts w:cs="Arial"/>
              <w:b/>
            </w:rPr>
            <w:t>02/03/26</w:t>
          </w:r>
        </w:p>
      </w:tc>
    </w:tr>
    <w:tr w:rsidR="00966EE4" w:rsidRPr="00AC7BA6" w14:paraId="55F1BB71" w14:textId="77777777" w:rsidTr="00471BB5">
      <w:tc>
        <w:tcPr>
          <w:tcW w:w="1219" w:type="dxa"/>
        </w:tcPr>
        <w:p w14:paraId="14F24E18" w14:textId="77777777" w:rsidR="00966EE4" w:rsidRPr="00AC7BA6" w:rsidRDefault="00525F2A" w:rsidP="00AC7BA6">
          <w:pPr>
            <w:pStyle w:val="Footer"/>
            <w:jc w:val="center"/>
            <w:rPr>
              <w:b/>
            </w:rPr>
          </w:pPr>
          <w:r>
            <w:rPr>
              <w:b/>
            </w:rPr>
            <w:t>ISSUE</w:t>
          </w:r>
        </w:p>
      </w:tc>
      <w:tc>
        <w:tcPr>
          <w:tcW w:w="1151" w:type="dxa"/>
        </w:tcPr>
        <w:p w14:paraId="2EAAA318" w14:textId="77777777" w:rsidR="00966EE4" w:rsidRPr="00AC7BA6" w:rsidRDefault="00966EE4" w:rsidP="00AC7BA6">
          <w:pPr>
            <w:jc w:val="center"/>
            <w:rPr>
              <w:rFonts w:cs="Arial"/>
              <w:b/>
            </w:rPr>
          </w:pPr>
          <w:r w:rsidRPr="00AC7BA6">
            <w:rPr>
              <w:rFonts w:cs="Arial"/>
              <w:b/>
            </w:rPr>
            <w:t>8</w:t>
          </w:r>
        </w:p>
      </w:tc>
      <w:tc>
        <w:tcPr>
          <w:tcW w:w="1284" w:type="dxa"/>
        </w:tcPr>
        <w:p w14:paraId="633FA848" w14:textId="77777777" w:rsidR="00966EE4" w:rsidRPr="00AC7BA6" w:rsidRDefault="00966EE4" w:rsidP="00AC7BA6">
          <w:pPr>
            <w:jc w:val="center"/>
            <w:rPr>
              <w:rFonts w:cs="Arial"/>
              <w:b/>
            </w:rPr>
          </w:pPr>
          <w:r w:rsidRPr="00AC7BA6">
            <w:rPr>
              <w:rFonts w:cs="Arial"/>
              <w:b/>
            </w:rPr>
            <w:t>9</w:t>
          </w:r>
        </w:p>
      </w:tc>
      <w:tc>
        <w:tcPr>
          <w:tcW w:w="1151" w:type="dxa"/>
        </w:tcPr>
        <w:p w14:paraId="1C27C6D2" w14:textId="77777777" w:rsidR="00966EE4" w:rsidRPr="00AC7BA6" w:rsidRDefault="00966EE4" w:rsidP="00AC7BA6">
          <w:pPr>
            <w:jc w:val="center"/>
            <w:rPr>
              <w:rFonts w:cs="Arial"/>
              <w:b/>
            </w:rPr>
          </w:pPr>
          <w:r w:rsidRPr="00AC7BA6">
            <w:rPr>
              <w:rFonts w:cs="Arial"/>
              <w:b/>
            </w:rPr>
            <w:t>10</w:t>
          </w:r>
        </w:p>
      </w:tc>
      <w:tc>
        <w:tcPr>
          <w:tcW w:w="1151" w:type="dxa"/>
        </w:tcPr>
        <w:p w14:paraId="3D033903" w14:textId="77777777" w:rsidR="00966EE4" w:rsidRPr="00AC7BA6" w:rsidRDefault="00F52D3B" w:rsidP="00AC7BA6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11</w:t>
          </w:r>
        </w:p>
      </w:tc>
      <w:tc>
        <w:tcPr>
          <w:tcW w:w="1151" w:type="dxa"/>
        </w:tcPr>
        <w:p w14:paraId="3FAEEFF2" w14:textId="77777777" w:rsidR="00966EE4" w:rsidRPr="00AC7BA6" w:rsidRDefault="00966EE4" w:rsidP="00AC7BA6">
          <w:pPr>
            <w:jc w:val="center"/>
            <w:rPr>
              <w:rFonts w:cs="Arial"/>
              <w:b/>
            </w:rPr>
          </w:pPr>
        </w:p>
      </w:tc>
      <w:tc>
        <w:tcPr>
          <w:tcW w:w="1151" w:type="dxa"/>
        </w:tcPr>
        <w:p w14:paraId="3537F82C" w14:textId="77777777" w:rsidR="00966EE4" w:rsidRPr="00AC7BA6" w:rsidRDefault="00966EE4" w:rsidP="00AC7BA6">
          <w:pPr>
            <w:jc w:val="center"/>
            <w:rPr>
              <w:rFonts w:cs="Arial"/>
              <w:b/>
            </w:rPr>
          </w:pPr>
        </w:p>
      </w:tc>
      <w:tc>
        <w:tcPr>
          <w:tcW w:w="1151" w:type="dxa"/>
        </w:tcPr>
        <w:p w14:paraId="3F3880FB" w14:textId="77777777" w:rsidR="00966EE4" w:rsidRPr="00AC7BA6" w:rsidRDefault="00966EE4" w:rsidP="00AC7BA6">
          <w:pPr>
            <w:jc w:val="center"/>
            <w:rPr>
              <w:rFonts w:cs="Arial"/>
              <w:b/>
            </w:rPr>
          </w:pPr>
        </w:p>
      </w:tc>
      <w:tc>
        <w:tcPr>
          <w:tcW w:w="1146" w:type="dxa"/>
        </w:tcPr>
        <w:p w14:paraId="75B90495" w14:textId="77777777" w:rsidR="00966EE4" w:rsidRPr="00AC7BA6" w:rsidRDefault="00966EE4" w:rsidP="00AC7BA6">
          <w:pPr>
            <w:jc w:val="center"/>
            <w:rPr>
              <w:rFonts w:cs="Arial"/>
              <w:b/>
            </w:rPr>
          </w:pPr>
        </w:p>
      </w:tc>
    </w:tr>
    <w:tr w:rsidR="00966EE4" w:rsidRPr="00AC7BA6" w14:paraId="20CB241F" w14:textId="77777777" w:rsidTr="00471BB5">
      <w:tc>
        <w:tcPr>
          <w:tcW w:w="1219" w:type="dxa"/>
        </w:tcPr>
        <w:p w14:paraId="35B0CCDF" w14:textId="77777777" w:rsidR="00966EE4" w:rsidRPr="00AC7BA6" w:rsidRDefault="00966EE4" w:rsidP="00AC7BA6">
          <w:pPr>
            <w:pStyle w:val="Footer"/>
            <w:jc w:val="center"/>
            <w:rPr>
              <w:b/>
            </w:rPr>
          </w:pPr>
          <w:r w:rsidRPr="00AC7BA6">
            <w:rPr>
              <w:b/>
            </w:rPr>
            <w:t>DATE</w:t>
          </w:r>
        </w:p>
      </w:tc>
      <w:tc>
        <w:tcPr>
          <w:tcW w:w="1151" w:type="dxa"/>
        </w:tcPr>
        <w:p w14:paraId="5AB0534A" w14:textId="77777777" w:rsidR="00966EE4" w:rsidRPr="00AC7BA6" w:rsidRDefault="00966EE4" w:rsidP="00AC7BA6">
          <w:pPr>
            <w:jc w:val="center"/>
            <w:rPr>
              <w:rFonts w:cs="Arial"/>
              <w:b/>
            </w:rPr>
          </w:pPr>
        </w:p>
      </w:tc>
      <w:tc>
        <w:tcPr>
          <w:tcW w:w="1284" w:type="dxa"/>
        </w:tcPr>
        <w:p w14:paraId="39781447" w14:textId="77777777" w:rsidR="00966EE4" w:rsidRPr="00AC7BA6" w:rsidRDefault="00966EE4" w:rsidP="00AC7BA6">
          <w:pPr>
            <w:jc w:val="center"/>
            <w:rPr>
              <w:rFonts w:cs="Arial"/>
              <w:b/>
            </w:rPr>
          </w:pPr>
        </w:p>
      </w:tc>
      <w:tc>
        <w:tcPr>
          <w:tcW w:w="1151" w:type="dxa"/>
        </w:tcPr>
        <w:p w14:paraId="4EAEABD4" w14:textId="77777777" w:rsidR="00966EE4" w:rsidRPr="00AC7BA6" w:rsidRDefault="00966EE4" w:rsidP="00AC7BA6">
          <w:pPr>
            <w:jc w:val="center"/>
            <w:rPr>
              <w:rFonts w:cs="Arial"/>
              <w:b/>
            </w:rPr>
          </w:pPr>
        </w:p>
      </w:tc>
      <w:tc>
        <w:tcPr>
          <w:tcW w:w="1151" w:type="dxa"/>
        </w:tcPr>
        <w:p w14:paraId="1E02BB29" w14:textId="77777777" w:rsidR="00966EE4" w:rsidRPr="00AC7BA6" w:rsidRDefault="00966EE4" w:rsidP="00AC7BA6">
          <w:pPr>
            <w:jc w:val="center"/>
            <w:rPr>
              <w:rFonts w:cs="Arial"/>
              <w:b/>
            </w:rPr>
          </w:pPr>
        </w:p>
      </w:tc>
      <w:tc>
        <w:tcPr>
          <w:tcW w:w="1151" w:type="dxa"/>
        </w:tcPr>
        <w:p w14:paraId="69D2D0E2" w14:textId="77777777" w:rsidR="00966EE4" w:rsidRPr="00AC7BA6" w:rsidRDefault="00966EE4" w:rsidP="00AC7BA6">
          <w:pPr>
            <w:jc w:val="center"/>
            <w:rPr>
              <w:rFonts w:cs="Arial"/>
              <w:b/>
            </w:rPr>
          </w:pPr>
        </w:p>
      </w:tc>
      <w:tc>
        <w:tcPr>
          <w:tcW w:w="1151" w:type="dxa"/>
        </w:tcPr>
        <w:p w14:paraId="57A468C2" w14:textId="77777777" w:rsidR="00966EE4" w:rsidRPr="00AC7BA6" w:rsidRDefault="00966EE4" w:rsidP="00AC7BA6">
          <w:pPr>
            <w:jc w:val="center"/>
            <w:rPr>
              <w:rFonts w:cs="Arial"/>
              <w:b/>
            </w:rPr>
          </w:pPr>
        </w:p>
      </w:tc>
      <w:tc>
        <w:tcPr>
          <w:tcW w:w="1151" w:type="dxa"/>
        </w:tcPr>
        <w:p w14:paraId="5953C194" w14:textId="77777777" w:rsidR="00966EE4" w:rsidRPr="00AC7BA6" w:rsidRDefault="00966EE4" w:rsidP="00AC7BA6">
          <w:pPr>
            <w:jc w:val="center"/>
            <w:rPr>
              <w:rFonts w:cs="Arial"/>
              <w:b/>
            </w:rPr>
          </w:pPr>
        </w:p>
      </w:tc>
      <w:tc>
        <w:tcPr>
          <w:tcW w:w="1146" w:type="dxa"/>
        </w:tcPr>
        <w:p w14:paraId="7D362234" w14:textId="77777777" w:rsidR="00966EE4" w:rsidRPr="00AC7BA6" w:rsidRDefault="00966EE4" w:rsidP="00AC7BA6">
          <w:pPr>
            <w:jc w:val="center"/>
            <w:rPr>
              <w:rFonts w:cs="Arial"/>
              <w:b/>
            </w:rPr>
          </w:pPr>
        </w:p>
      </w:tc>
    </w:tr>
  </w:tbl>
  <w:p w14:paraId="2C357D39" w14:textId="77777777" w:rsidR="00966EE4" w:rsidRDefault="00966E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5334A" w14:textId="77777777" w:rsidR="00BA0E2A" w:rsidRDefault="00BA0E2A" w:rsidP="00FE5D52">
      <w:r>
        <w:separator/>
      </w:r>
    </w:p>
  </w:footnote>
  <w:footnote w:type="continuationSeparator" w:id="0">
    <w:p w14:paraId="6AB71CE6" w14:textId="77777777" w:rsidR="00BA0E2A" w:rsidRDefault="00BA0E2A" w:rsidP="00FE5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2323"/>
      <w:gridCol w:w="5314"/>
      <w:gridCol w:w="1249"/>
      <w:gridCol w:w="1310"/>
    </w:tblGrid>
    <w:tr w:rsidR="00966EE4" w:rsidRPr="00AC7BA6" w14:paraId="4C42C7B8" w14:textId="77777777" w:rsidTr="00F13E0E">
      <w:tc>
        <w:tcPr>
          <w:tcW w:w="1908" w:type="dxa"/>
          <w:vMerge w:val="restart"/>
          <w:vAlign w:val="center"/>
        </w:tcPr>
        <w:p w14:paraId="5DD1ED79" w14:textId="5E9F84EE" w:rsidR="00966EE4" w:rsidRPr="00AC7BA6" w:rsidRDefault="00D309C4" w:rsidP="00AC7BA6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CD61AC9" wp14:editId="1CCE7460">
                <wp:extent cx="1337945" cy="665480"/>
                <wp:effectExtent l="0" t="0" r="0" b="127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7945" cy="66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2" w:type="dxa"/>
          <w:vMerge w:val="restart"/>
        </w:tcPr>
        <w:p w14:paraId="5990328B" w14:textId="77777777" w:rsidR="00966EE4" w:rsidRPr="00AC7BA6" w:rsidRDefault="00510F15" w:rsidP="00473AE6">
          <w:pPr>
            <w:pStyle w:val="Header"/>
            <w:jc w:val="center"/>
          </w:pPr>
          <w:r>
            <w:t>CURRICULUM</w:t>
          </w:r>
        </w:p>
        <w:p w14:paraId="0BEFD471" w14:textId="77777777" w:rsidR="009B70CE" w:rsidRDefault="00BB2837" w:rsidP="009B70CE">
          <w:pPr>
            <w:jc w:val="center"/>
            <w:rPr>
              <w:b/>
            </w:rPr>
          </w:pPr>
          <w:r>
            <w:rPr>
              <w:b/>
            </w:rPr>
            <w:t xml:space="preserve"> </w:t>
          </w:r>
        </w:p>
        <w:p w14:paraId="0AB5B3A4" w14:textId="77777777" w:rsidR="00966EE4" w:rsidRPr="00AC7BA6" w:rsidRDefault="002B26F6" w:rsidP="00A607C8">
          <w:pPr>
            <w:jc w:val="center"/>
            <w:rPr>
              <w:b/>
            </w:rPr>
          </w:pPr>
          <w:r>
            <w:rPr>
              <w:b/>
            </w:rPr>
            <w:t xml:space="preserve">Student </w:t>
          </w:r>
          <w:r w:rsidR="00A607C8">
            <w:rPr>
              <w:b/>
            </w:rPr>
            <w:t>Appeals</w:t>
          </w:r>
          <w:r w:rsidR="00734FE5">
            <w:rPr>
              <w:b/>
            </w:rPr>
            <w:t xml:space="preserve"> P</w:t>
          </w:r>
          <w:r w:rsidR="00BB2837">
            <w:rPr>
              <w:b/>
            </w:rPr>
            <w:t>rocedure</w:t>
          </w:r>
          <w:r>
            <w:rPr>
              <w:b/>
            </w:rPr>
            <w:t xml:space="preserve"> (Higher Education)</w:t>
          </w:r>
        </w:p>
      </w:tc>
      <w:tc>
        <w:tcPr>
          <w:tcW w:w="1274" w:type="dxa"/>
        </w:tcPr>
        <w:p w14:paraId="77B96414" w14:textId="77777777" w:rsidR="00966EE4" w:rsidRPr="00AC7BA6" w:rsidRDefault="00966EE4">
          <w:pPr>
            <w:pStyle w:val="Header"/>
            <w:rPr>
              <w:b/>
            </w:rPr>
          </w:pPr>
          <w:r w:rsidRPr="00AC7BA6">
            <w:rPr>
              <w:b/>
            </w:rPr>
            <w:t>Number</w:t>
          </w:r>
        </w:p>
      </w:tc>
      <w:tc>
        <w:tcPr>
          <w:tcW w:w="1238" w:type="dxa"/>
        </w:tcPr>
        <w:p w14:paraId="1E415ABD" w14:textId="77777777" w:rsidR="00966EE4" w:rsidRPr="00AC7BA6" w:rsidRDefault="00A607C8" w:rsidP="00433470">
          <w:pPr>
            <w:pStyle w:val="Header"/>
            <w:jc w:val="center"/>
            <w:rPr>
              <w:b/>
            </w:rPr>
          </w:pPr>
          <w:r>
            <w:rPr>
              <w:b/>
            </w:rPr>
            <w:t>CUR0</w:t>
          </w:r>
          <w:r w:rsidR="00AB1C99">
            <w:rPr>
              <w:b/>
            </w:rPr>
            <w:t>0</w:t>
          </w:r>
          <w:r>
            <w:rPr>
              <w:b/>
            </w:rPr>
            <w:t>9</w:t>
          </w:r>
          <w:r w:rsidR="002B26F6">
            <w:rPr>
              <w:b/>
            </w:rPr>
            <w:t>B</w:t>
          </w:r>
        </w:p>
      </w:tc>
    </w:tr>
    <w:tr w:rsidR="00966EE4" w:rsidRPr="00AC7BA6" w14:paraId="543A7DF2" w14:textId="77777777" w:rsidTr="00F13E0E">
      <w:tc>
        <w:tcPr>
          <w:tcW w:w="1908" w:type="dxa"/>
          <w:vMerge/>
        </w:tcPr>
        <w:p w14:paraId="38F4CD7D" w14:textId="77777777" w:rsidR="00966EE4" w:rsidRPr="00AC7BA6" w:rsidRDefault="00966EE4">
          <w:pPr>
            <w:pStyle w:val="Header"/>
          </w:pPr>
        </w:p>
      </w:tc>
      <w:tc>
        <w:tcPr>
          <w:tcW w:w="6002" w:type="dxa"/>
          <w:vMerge/>
        </w:tcPr>
        <w:p w14:paraId="227C009D" w14:textId="77777777" w:rsidR="00966EE4" w:rsidRPr="00AC7BA6" w:rsidRDefault="00966EE4">
          <w:pPr>
            <w:pStyle w:val="Header"/>
          </w:pPr>
        </w:p>
      </w:tc>
      <w:tc>
        <w:tcPr>
          <w:tcW w:w="1274" w:type="dxa"/>
        </w:tcPr>
        <w:p w14:paraId="0A305676" w14:textId="77777777" w:rsidR="00966EE4" w:rsidRPr="00AC7BA6" w:rsidRDefault="00966EE4">
          <w:pPr>
            <w:pStyle w:val="Header"/>
            <w:rPr>
              <w:b/>
            </w:rPr>
          </w:pPr>
          <w:r w:rsidRPr="00AC7BA6">
            <w:rPr>
              <w:b/>
            </w:rPr>
            <w:t>Page</w:t>
          </w:r>
        </w:p>
      </w:tc>
      <w:tc>
        <w:tcPr>
          <w:tcW w:w="1238" w:type="dxa"/>
        </w:tcPr>
        <w:p w14:paraId="7B71B505" w14:textId="32A5F2F6" w:rsidR="00966EE4" w:rsidRPr="00AC7BA6" w:rsidRDefault="00B52379" w:rsidP="002B26F6">
          <w:pPr>
            <w:jc w:val="center"/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 w:rsidR="00C12427">
            <w:rPr>
              <w:b/>
              <w:bCs/>
              <w:noProof/>
            </w:rPr>
            <w:t>4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 w:rsidR="00C12427">
            <w:rPr>
              <w:b/>
              <w:bCs/>
              <w:noProof/>
            </w:rPr>
            <w:t>4</w:t>
          </w:r>
          <w:r>
            <w:rPr>
              <w:b/>
              <w:bCs/>
            </w:rPr>
            <w:fldChar w:fldCharType="end"/>
          </w:r>
        </w:p>
      </w:tc>
    </w:tr>
    <w:tr w:rsidR="00966EE4" w:rsidRPr="00AC7BA6" w14:paraId="398C0A35" w14:textId="77777777" w:rsidTr="00F13E0E">
      <w:tc>
        <w:tcPr>
          <w:tcW w:w="1908" w:type="dxa"/>
          <w:vMerge/>
        </w:tcPr>
        <w:p w14:paraId="62FE93F0" w14:textId="77777777" w:rsidR="00966EE4" w:rsidRPr="00AC7BA6" w:rsidRDefault="00966EE4">
          <w:pPr>
            <w:pStyle w:val="Header"/>
          </w:pPr>
        </w:p>
      </w:tc>
      <w:tc>
        <w:tcPr>
          <w:tcW w:w="6002" w:type="dxa"/>
          <w:vMerge/>
        </w:tcPr>
        <w:p w14:paraId="5B7E5506" w14:textId="77777777" w:rsidR="00966EE4" w:rsidRPr="00AC7BA6" w:rsidRDefault="00966EE4">
          <w:pPr>
            <w:pStyle w:val="Header"/>
          </w:pPr>
        </w:p>
      </w:tc>
      <w:tc>
        <w:tcPr>
          <w:tcW w:w="1274" w:type="dxa"/>
        </w:tcPr>
        <w:p w14:paraId="1890A42B" w14:textId="77777777" w:rsidR="00966EE4" w:rsidRPr="00AC7BA6" w:rsidRDefault="00525F2A">
          <w:pPr>
            <w:pStyle w:val="Header"/>
            <w:rPr>
              <w:b/>
            </w:rPr>
          </w:pPr>
          <w:r>
            <w:rPr>
              <w:b/>
            </w:rPr>
            <w:t>Policy</w:t>
          </w:r>
        </w:p>
      </w:tc>
      <w:tc>
        <w:tcPr>
          <w:tcW w:w="1238" w:type="dxa"/>
        </w:tcPr>
        <w:p w14:paraId="7FF6C90E" w14:textId="77777777" w:rsidR="00966EE4" w:rsidRPr="00AC7BA6" w:rsidRDefault="00525F2A" w:rsidP="00AC7BA6">
          <w:pPr>
            <w:pStyle w:val="Header"/>
            <w:jc w:val="center"/>
            <w:rPr>
              <w:b/>
            </w:rPr>
          </w:pPr>
          <w:r>
            <w:rPr>
              <w:b/>
            </w:rPr>
            <w:t>6</w:t>
          </w:r>
        </w:p>
      </w:tc>
    </w:tr>
  </w:tbl>
  <w:p w14:paraId="4C70714A" w14:textId="77777777" w:rsidR="00966EE4" w:rsidRDefault="00966E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426E"/>
    <w:multiLevelType w:val="multilevel"/>
    <w:tmpl w:val="8930896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3160C48"/>
    <w:multiLevelType w:val="multilevel"/>
    <w:tmpl w:val="C0D8B10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71733C"/>
    <w:multiLevelType w:val="multilevel"/>
    <w:tmpl w:val="58122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2E63745"/>
    <w:multiLevelType w:val="hybridMultilevel"/>
    <w:tmpl w:val="10FE6216"/>
    <w:lvl w:ilvl="0" w:tplc="D196F43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74BC7"/>
    <w:multiLevelType w:val="hybridMultilevel"/>
    <w:tmpl w:val="AC1C5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537B1"/>
    <w:multiLevelType w:val="hybridMultilevel"/>
    <w:tmpl w:val="76F6394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49F0F93"/>
    <w:multiLevelType w:val="hybridMultilevel"/>
    <w:tmpl w:val="60F6326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A61193D"/>
    <w:multiLevelType w:val="hybridMultilevel"/>
    <w:tmpl w:val="F95E20C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E61029E"/>
    <w:multiLevelType w:val="hybridMultilevel"/>
    <w:tmpl w:val="0B4485F0"/>
    <w:lvl w:ilvl="0" w:tplc="D196F438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C368CB"/>
    <w:multiLevelType w:val="hybridMultilevel"/>
    <w:tmpl w:val="10E43DB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3A06478D"/>
    <w:multiLevelType w:val="hybridMultilevel"/>
    <w:tmpl w:val="6976408A"/>
    <w:lvl w:ilvl="0" w:tplc="08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B072F79"/>
    <w:multiLevelType w:val="hybridMultilevel"/>
    <w:tmpl w:val="C4465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21E89"/>
    <w:multiLevelType w:val="hybridMultilevel"/>
    <w:tmpl w:val="5ABAE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312CE"/>
    <w:multiLevelType w:val="hybridMultilevel"/>
    <w:tmpl w:val="150005F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88A73EE"/>
    <w:multiLevelType w:val="hybridMultilevel"/>
    <w:tmpl w:val="69A0AD06"/>
    <w:lvl w:ilvl="0" w:tplc="D196F43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255CD"/>
    <w:multiLevelType w:val="hybridMultilevel"/>
    <w:tmpl w:val="B1D00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F1D20"/>
    <w:multiLevelType w:val="hybridMultilevel"/>
    <w:tmpl w:val="EAC065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724B8"/>
    <w:multiLevelType w:val="hybridMultilevel"/>
    <w:tmpl w:val="BC160DFE"/>
    <w:lvl w:ilvl="0" w:tplc="6674F014">
      <w:start w:val="1"/>
      <w:numFmt w:val="bullet"/>
      <w:lvlText w:val=""/>
      <w:lvlJc w:val="left"/>
      <w:pPr>
        <w:tabs>
          <w:tab w:val="num" w:pos="1332"/>
        </w:tabs>
        <w:ind w:left="1332" w:hanging="61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F5522C"/>
    <w:multiLevelType w:val="hybridMultilevel"/>
    <w:tmpl w:val="326E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469FF"/>
    <w:multiLevelType w:val="hybridMultilevel"/>
    <w:tmpl w:val="5B24CF0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75DF4C63"/>
    <w:multiLevelType w:val="hybridMultilevel"/>
    <w:tmpl w:val="640CB338"/>
    <w:lvl w:ilvl="0" w:tplc="6674F014">
      <w:start w:val="1"/>
      <w:numFmt w:val="bullet"/>
      <w:lvlText w:val=""/>
      <w:lvlJc w:val="left"/>
      <w:pPr>
        <w:tabs>
          <w:tab w:val="num" w:pos="1332"/>
        </w:tabs>
        <w:ind w:left="1332" w:hanging="61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A97DBB"/>
    <w:multiLevelType w:val="hybridMultilevel"/>
    <w:tmpl w:val="7E24A1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93A54"/>
    <w:multiLevelType w:val="hybridMultilevel"/>
    <w:tmpl w:val="D46E414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BBC2626"/>
    <w:multiLevelType w:val="hybridMultilevel"/>
    <w:tmpl w:val="6F0487C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7"/>
  </w:num>
  <w:num w:numId="4">
    <w:abstractNumId w:val="21"/>
  </w:num>
  <w:num w:numId="5">
    <w:abstractNumId w:val="10"/>
  </w:num>
  <w:num w:numId="6">
    <w:abstractNumId w:val="0"/>
  </w:num>
  <w:num w:numId="7">
    <w:abstractNumId w:val="20"/>
  </w:num>
  <w:num w:numId="8">
    <w:abstractNumId w:val="12"/>
  </w:num>
  <w:num w:numId="9">
    <w:abstractNumId w:val="18"/>
  </w:num>
  <w:num w:numId="10">
    <w:abstractNumId w:val="4"/>
  </w:num>
  <w:num w:numId="11">
    <w:abstractNumId w:val="5"/>
  </w:num>
  <w:num w:numId="12">
    <w:abstractNumId w:val="9"/>
  </w:num>
  <w:num w:numId="13">
    <w:abstractNumId w:val="23"/>
  </w:num>
  <w:num w:numId="14">
    <w:abstractNumId w:val="6"/>
  </w:num>
  <w:num w:numId="15">
    <w:abstractNumId w:val="13"/>
  </w:num>
  <w:num w:numId="16">
    <w:abstractNumId w:val="14"/>
  </w:num>
  <w:num w:numId="17">
    <w:abstractNumId w:val="8"/>
  </w:num>
  <w:num w:numId="18">
    <w:abstractNumId w:val="15"/>
  </w:num>
  <w:num w:numId="19">
    <w:abstractNumId w:val="11"/>
  </w:num>
  <w:num w:numId="20">
    <w:abstractNumId w:val="22"/>
  </w:num>
  <w:num w:numId="21">
    <w:abstractNumId w:val="7"/>
  </w:num>
  <w:num w:numId="22">
    <w:abstractNumId w:val="3"/>
  </w:num>
  <w:num w:numId="23">
    <w:abstractNumId w:val="19"/>
  </w:num>
  <w:num w:numId="24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82"/>
    <w:rsid w:val="00001B4E"/>
    <w:rsid w:val="000176CD"/>
    <w:rsid w:val="00031D30"/>
    <w:rsid w:val="000323EF"/>
    <w:rsid w:val="00033446"/>
    <w:rsid w:val="00034569"/>
    <w:rsid w:val="000367BD"/>
    <w:rsid w:val="00041598"/>
    <w:rsid w:val="000438EE"/>
    <w:rsid w:val="00045822"/>
    <w:rsid w:val="00047493"/>
    <w:rsid w:val="000478E2"/>
    <w:rsid w:val="00050545"/>
    <w:rsid w:val="00050995"/>
    <w:rsid w:val="00061A3F"/>
    <w:rsid w:val="000678AB"/>
    <w:rsid w:val="000716C3"/>
    <w:rsid w:val="0007562F"/>
    <w:rsid w:val="000B5B32"/>
    <w:rsid w:val="000C4A3F"/>
    <w:rsid w:val="000D58BE"/>
    <w:rsid w:val="000E2941"/>
    <w:rsid w:val="000E4AED"/>
    <w:rsid w:val="000F3E26"/>
    <w:rsid w:val="000F7851"/>
    <w:rsid w:val="001015D7"/>
    <w:rsid w:val="001152CF"/>
    <w:rsid w:val="001169EE"/>
    <w:rsid w:val="001279A7"/>
    <w:rsid w:val="0013491D"/>
    <w:rsid w:val="001453A1"/>
    <w:rsid w:val="00145590"/>
    <w:rsid w:val="00155FE6"/>
    <w:rsid w:val="00156C88"/>
    <w:rsid w:val="00157AE7"/>
    <w:rsid w:val="001601C4"/>
    <w:rsid w:val="0016465D"/>
    <w:rsid w:val="00173482"/>
    <w:rsid w:val="00180656"/>
    <w:rsid w:val="001917D6"/>
    <w:rsid w:val="001A0802"/>
    <w:rsid w:val="001A5AFB"/>
    <w:rsid w:val="001D04F7"/>
    <w:rsid w:val="001D4014"/>
    <w:rsid w:val="001E5058"/>
    <w:rsid w:val="001F23D0"/>
    <w:rsid w:val="001F2C8E"/>
    <w:rsid w:val="001F540A"/>
    <w:rsid w:val="00202A21"/>
    <w:rsid w:val="002075ED"/>
    <w:rsid w:val="00210F4E"/>
    <w:rsid w:val="0022126E"/>
    <w:rsid w:val="00221BBB"/>
    <w:rsid w:val="00230D0F"/>
    <w:rsid w:val="002401F9"/>
    <w:rsid w:val="00241B1B"/>
    <w:rsid w:val="00245895"/>
    <w:rsid w:val="00252DF7"/>
    <w:rsid w:val="00254549"/>
    <w:rsid w:val="00261AF4"/>
    <w:rsid w:val="00271926"/>
    <w:rsid w:val="00282A90"/>
    <w:rsid w:val="0028447C"/>
    <w:rsid w:val="002905CB"/>
    <w:rsid w:val="002A029D"/>
    <w:rsid w:val="002A0C63"/>
    <w:rsid w:val="002A0D50"/>
    <w:rsid w:val="002A58D6"/>
    <w:rsid w:val="002A5F72"/>
    <w:rsid w:val="002A6CDF"/>
    <w:rsid w:val="002A71CA"/>
    <w:rsid w:val="002B1E21"/>
    <w:rsid w:val="002B26F6"/>
    <w:rsid w:val="002C0A3C"/>
    <w:rsid w:val="002C7DC1"/>
    <w:rsid w:val="002D24DA"/>
    <w:rsid w:val="002D29FF"/>
    <w:rsid w:val="002D730C"/>
    <w:rsid w:val="002F4298"/>
    <w:rsid w:val="002F4E82"/>
    <w:rsid w:val="003009F2"/>
    <w:rsid w:val="00303DE7"/>
    <w:rsid w:val="00306605"/>
    <w:rsid w:val="00310068"/>
    <w:rsid w:val="00344ECB"/>
    <w:rsid w:val="0034641C"/>
    <w:rsid w:val="0035735F"/>
    <w:rsid w:val="003642FE"/>
    <w:rsid w:val="0036788C"/>
    <w:rsid w:val="00384EF9"/>
    <w:rsid w:val="00387032"/>
    <w:rsid w:val="003A7170"/>
    <w:rsid w:val="003A752D"/>
    <w:rsid w:val="003B50D3"/>
    <w:rsid w:val="003C0793"/>
    <w:rsid w:val="003C6FC4"/>
    <w:rsid w:val="003C70CA"/>
    <w:rsid w:val="003D442F"/>
    <w:rsid w:val="003E2077"/>
    <w:rsid w:val="003F143B"/>
    <w:rsid w:val="003F25EE"/>
    <w:rsid w:val="0040327E"/>
    <w:rsid w:val="0040775E"/>
    <w:rsid w:val="00433470"/>
    <w:rsid w:val="004338DE"/>
    <w:rsid w:val="004430B3"/>
    <w:rsid w:val="004436CF"/>
    <w:rsid w:val="004449FB"/>
    <w:rsid w:val="00445C64"/>
    <w:rsid w:val="00447F0A"/>
    <w:rsid w:val="004516AA"/>
    <w:rsid w:val="004631B0"/>
    <w:rsid w:val="00464967"/>
    <w:rsid w:val="004712D7"/>
    <w:rsid w:val="00471BB5"/>
    <w:rsid w:val="00473AE6"/>
    <w:rsid w:val="0047643A"/>
    <w:rsid w:val="00482CDC"/>
    <w:rsid w:val="00484818"/>
    <w:rsid w:val="004B1632"/>
    <w:rsid w:val="004B21B7"/>
    <w:rsid w:val="004C4FC2"/>
    <w:rsid w:val="004C613A"/>
    <w:rsid w:val="004C6DE1"/>
    <w:rsid w:val="004D0030"/>
    <w:rsid w:val="004D0FF3"/>
    <w:rsid w:val="004D4912"/>
    <w:rsid w:val="004E07DC"/>
    <w:rsid w:val="004F23E4"/>
    <w:rsid w:val="004F76E7"/>
    <w:rsid w:val="00504E80"/>
    <w:rsid w:val="00510F15"/>
    <w:rsid w:val="005123BF"/>
    <w:rsid w:val="005149C4"/>
    <w:rsid w:val="00516E34"/>
    <w:rsid w:val="0052308A"/>
    <w:rsid w:val="00525F2A"/>
    <w:rsid w:val="005260FE"/>
    <w:rsid w:val="00535095"/>
    <w:rsid w:val="0053573E"/>
    <w:rsid w:val="00542272"/>
    <w:rsid w:val="00544606"/>
    <w:rsid w:val="00545453"/>
    <w:rsid w:val="00554A9A"/>
    <w:rsid w:val="005569E3"/>
    <w:rsid w:val="00570C5F"/>
    <w:rsid w:val="005720CD"/>
    <w:rsid w:val="00583A54"/>
    <w:rsid w:val="005852E3"/>
    <w:rsid w:val="005A2796"/>
    <w:rsid w:val="005B02E7"/>
    <w:rsid w:val="005B22A3"/>
    <w:rsid w:val="005B2852"/>
    <w:rsid w:val="005C3EFB"/>
    <w:rsid w:val="005C3FAA"/>
    <w:rsid w:val="005C438E"/>
    <w:rsid w:val="005D580E"/>
    <w:rsid w:val="005E0C5B"/>
    <w:rsid w:val="005F3C9B"/>
    <w:rsid w:val="006062DF"/>
    <w:rsid w:val="00625A38"/>
    <w:rsid w:val="0062715E"/>
    <w:rsid w:val="00631AFB"/>
    <w:rsid w:val="006427FE"/>
    <w:rsid w:val="00642E0D"/>
    <w:rsid w:val="00646E6B"/>
    <w:rsid w:val="0065331A"/>
    <w:rsid w:val="0066034F"/>
    <w:rsid w:val="00664E84"/>
    <w:rsid w:val="0068079D"/>
    <w:rsid w:val="0068308B"/>
    <w:rsid w:val="00683333"/>
    <w:rsid w:val="00686FB6"/>
    <w:rsid w:val="00690CB2"/>
    <w:rsid w:val="006A03E2"/>
    <w:rsid w:val="006A6222"/>
    <w:rsid w:val="006B3716"/>
    <w:rsid w:val="006B3E4D"/>
    <w:rsid w:val="006B4489"/>
    <w:rsid w:val="006B74D2"/>
    <w:rsid w:val="006C6268"/>
    <w:rsid w:val="006C7C2C"/>
    <w:rsid w:val="006E0BAF"/>
    <w:rsid w:val="006E5948"/>
    <w:rsid w:val="006E5976"/>
    <w:rsid w:val="006E7B67"/>
    <w:rsid w:val="006F47DF"/>
    <w:rsid w:val="00703210"/>
    <w:rsid w:val="00712D8F"/>
    <w:rsid w:val="0072255D"/>
    <w:rsid w:val="0072591C"/>
    <w:rsid w:val="00734D6C"/>
    <w:rsid w:val="00734FE5"/>
    <w:rsid w:val="00742F21"/>
    <w:rsid w:val="00743C64"/>
    <w:rsid w:val="007572C1"/>
    <w:rsid w:val="00764266"/>
    <w:rsid w:val="00766C8E"/>
    <w:rsid w:val="007738E5"/>
    <w:rsid w:val="00774CF4"/>
    <w:rsid w:val="0077530B"/>
    <w:rsid w:val="007755CE"/>
    <w:rsid w:val="00783BDF"/>
    <w:rsid w:val="007862E2"/>
    <w:rsid w:val="00787E3E"/>
    <w:rsid w:val="007954E3"/>
    <w:rsid w:val="00795D60"/>
    <w:rsid w:val="007A26E5"/>
    <w:rsid w:val="007B178D"/>
    <w:rsid w:val="007C2107"/>
    <w:rsid w:val="007C5219"/>
    <w:rsid w:val="007D459D"/>
    <w:rsid w:val="007D4CBE"/>
    <w:rsid w:val="007E1DDA"/>
    <w:rsid w:val="007E2C8A"/>
    <w:rsid w:val="007E4D7D"/>
    <w:rsid w:val="008009D7"/>
    <w:rsid w:val="0080111E"/>
    <w:rsid w:val="0081270C"/>
    <w:rsid w:val="00814C48"/>
    <w:rsid w:val="00820618"/>
    <w:rsid w:val="00833484"/>
    <w:rsid w:val="00842661"/>
    <w:rsid w:val="00845FC8"/>
    <w:rsid w:val="00857BAF"/>
    <w:rsid w:val="00875861"/>
    <w:rsid w:val="008771D5"/>
    <w:rsid w:val="0087723F"/>
    <w:rsid w:val="00881AB9"/>
    <w:rsid w:val="008822F3"/>
    <w:rsid w:val="0088599C"/>
    <w:rsid w:val="00890071"/>
    <w:rsid w:val="008A6EEB"/>
    <w:rsid w:val="008B47AA"/>
    <w:rsid w:val="008B5D74"/>
    <w:rsid w:val="008C757B"/>
    <w:rsid w:val="008D2E7C"/>
    <w:rsid w:val="008D43C8"/>
    <w:rsid w:val="008E1498"/>
    <w:rsid w:val="008E2BEA"/>
    <w:rsid w:val="008E3934"/>
    <w:rsid w:val="008E3BD2"/>
    <w:rsid w:val="008E3CD5"/>
    <w:rsid w:val="008F110F"/>
    <w:rsid w:val="008F263D"/>
    <w:rsid w:val="008F6B92"/>
    <w:rsid w:val="00903D93"/>
    <w:rsid w:val="009123A9"/>
    <w:rsid w:val="009400D9"/>
    <w:rsid w:val="009430B3"/>
    <w:rsid w:val="00944073"/>
    <w:rsid w:val="00947EC9"/>
    <w:rsid w:val="00962830"/>
    <w:rsid w:val="00966EE4"/>
    <w:rsid w:val="00967CDF"/>
    <w:rsid w:val="00971CEF"/>
    <w:rsid w:val="00996897"/>
    <w:rsid w:val="009A3424"/>
    <w:rsid w:val="009B07B6"/>
    <w:rsid w:val="009B70CE"/>
    <w:rsid w:val="009D2A6E"/>
    <w:rsid w:val="009E1ADF"/>
    <w:rsid w:val="009F0600"/>
    <w:rsid w:val="00A2282A"/>
    <w:rsid w:val="00A30F08"/>
    <w:rsid w:val="00A41BC8"/>
    <w:rsid w:val="00A607C8"/>
    <w:rsid w:val="00A86915"/>
    <w:rsid w:val="00A91CD9"/>
    <w:rsid w:val="00A9235D"/>
    <w:rsid w:val="00AB1C99"/>
    <w:rsid w:val="00AC7316"/>
    <w:rsid w:val="00AC7BA6"/>
    <w:rsid w:val="00AD40CC"/>
    <w:rsid w:val="00B01A57"/>
    <w:rsid w:val="00B13602"/>
    <w:rsid w:val="00B13F33"/>
    <w:rsid w:val="00B23F89"/>
    <w:rsid w:val="00B275E8"/>
    <w:rsid w:val="00B33742"/>
    <w:rsid w:val="00B364FC"/>
    <w:rsid w:val="00B52379"/>
    <w:rsid w:val="00B571F6"/>
    <w:rsid w:val="00B62910"/>
    <w:rsid w:val="00B77F9B"/>
    <w:rsid w:val="00B82A6A"/>
    <w:rsid w:val="00B91B66"/>
    <w:rsid w:val="00BA0E2A"/>
    <w:rsid w:val="00BA18B1"/>
    <w:rsid w:val="00BB2837"/>
    <w:rsid w:val="00BC0692"/>
    <w:rsid w:val="00BC1B87"/>
    <w:rsid w:val="00BE41DA"/>
    <w:rsid w:val="00C0062B"/>
    <w:rsid w:val="00C05C6A"/>
    <w:rsid w:val="00C12427"/>
    <w:rsid w:val="00C13EB3"/>
    <w:rsid w:val="00C453AC"/>
    <w:rsid w:val="00C606CA"/>
    <w:rsid w:val="00C72A6F"/>
    <w:rsid w:val="00C7525A"/>
    <w:rsid w:val="00C803DD"/>
    <w:rsid w:val="00C902D1"/>
    <w:rsid w:val="00C912C2"/>
    <w:rsid w:val="00C96416"/>
    <w:rsid w:val="00CA427A"/>
    <w:rsid w:val="00CA56DA"/>
    <w:rsid w:val="00CC2091"/>
    <w:rsid w:val="00CC5262"/>
    <w:rsid w:val="00CC5AA7"/>
    <w:rsid w:val="00CC5D25"/>
    <w:rsid w:val="00CC792B"/>
    <w:rsid w:val="00CD5166"/>
    <w:rsid w:val="00CF01E3"/>
    <w:rsid w:val="00D01E51"/>
    <w:rsid w:val="00D12CD3"/>
    <w:rsid w:val="00D12DF3"/>
    <w:rsid w:val="00D132FB"/>
    <w:rsid w:val="00D14522"/>
    <w:rsid w:val="00D14536"/>
    <w:rsid w:val="00D14E56"/>
    <w:rsid w:val="00D2485A"/>
    <w:rsid w:val="00D309C4"/>
    <w:rsid w:val="00D3102E"/>
    <w:rsid w:val="00D45F20"/>
    <w:rsid w:val="00D515B9"/>
    <w:rsid w:val="00D76A47"/>
    <w:rsid w:val="00D804D5"/>
    <w:rsid w:val="00D90968"/>
    <w:rsid w:val="00D95B84"/>
    <w:rsid w:val="00DC4AFB"/>
    <w:rsid w:val="00DC5073"/>
    <w:rsid w:val="00DC50DE"/>
    <w:rsid w:val="00DC7A69"/>
    <w:rsid w:val="00DE445B"/>
    <w:rsid w:val="00DF310A"/>
    <w:rsid w:val="00DF5AC4"/>
    <w:rsid w:val="00DF5F30"/>
    <w:rsid w:val="00DF7767"/>
    <w:rsid w:val="00E11666"/>
    <w:rsid w:val="00E15E29"/>
    <w:rsid w:val="00E1639E"/>
    <w:rsid w:val="00E21D6F"/>
    <w:rsid w:val="00E30F0B"/>
    <w:rsid w:val="00E32810"/>
    <w:rsid w:val="00E3478A"/>
    <w:rsid w:val="00E415D2"/>
    <w:rsid w:val="00E46ED7"/>
    <w:rsid w:val="00E64ED4"/>
    <w:rsid w:val="00E70F3C"/>
    <w:rsid w:val="00E73854"/>
    <w:rsid w:val="00E81FF5"/>
    <w:rsid w:val="00E84B44"/>
    <w:rsid w:val="00E93A50"/>
    <w:rsid w:val="00E979AA"/>
    <w:rsid w:val="00EA30F4"/>
    <w:rsid w:val="00EA4131"/>
    <w:rsid w:val="00EA6535"/>
    <w:rsid w:val="00EB1724"/>
    <w:rsid w:val="00EB2E04"/>
    <w:rsid w:val="00EB4F84"/>
    <w:rsid w:val="00EB6A7F"/>
    <w:rsid w:val="00EC7EFE"/>
    <w:rsid w:val="00ED1E68"/>
    <w:rsid w:val="00EE06E5"/>
    <w:rsid w:val="00EE0C6B"/>
    <w:rsid w:val="00EE7671"/>
    <w:rsid w:val="00EF1DDC"/>
    <w:rsid w:val="00F13E0E"/>
    <w:rsid w:val="00F14B1A"/>
    <w:rsid w:val="00F1644A"/>
    <w:rsid w:val="00F16472"/>
    <w:rsid w:val="00F26F95"/>
    <w:rsid w:val="00F3044B"/>
    <w:rsid w:val="00F52D3B"/>
    <w:rsid w:val="00F533C8"/>
    <w:rsid w:val="00F60A2B"/>
    <w:rsid w:val="00F61C91"/>
    <w:rsid w:val="00F6498D"/>
    <w:rsid w:val="00F70F22"/>
    <w:rsid w:val="00F717F2"/>
    <w:rsid w:val="00F74A33"/>
    <w:rsid w:val="00F833EE"/>
    <w:rsid w:val="00F95E1E"/>
    <w:rsid w:val="00FA165A"/>
    <w:rsid w:val="00FA51BA"/>
    <w:rsid w:val="00FA6D17"/>
    <w:rsid w:val="00FB2B42"/>
    <w:rsid w:val="00FB43FC"/>
    <w:rsid w:val="00FB44FF"/>
    <w:rsid w:val="00FD5A1D"/>
    <w:rsid w:val="00FE5D52"/>
    <w:rsid w:val="00FF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250F1A"/>
  <w15:docId w15:val="{2E473228-A678-42A5-ACD6-CB275601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4436CF"/>
    <w:pPr>
      <w:jc w:val="both"/>
    </w:pPr>
    <w:rPr>
      <w:rFonts w:ascii="Arial" w:hAnsi="Arial"/>
      <w:sz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A6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BB2837"/>
    <w:pPr>
      <w:spacing w:before="240" w:after="60"/>
      <w:jc w:val="left"/>
      <w:outlineLvl w:val="5"/>
    </w:pPr>
    <w:rPr>
      <w:rFonts w:ascii="Calibri" w:eastAsia="Times New Roman" w:hAnsi="Calibr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E0C5B"/>
    <w:pPr>
      <w:jc w:val="both"/>
    </w:pPr>
    <w:rPr>
      <w:rFonts w:ascii="Arial" w:hAnsi="Arial"/>
      <w:sz w:val="24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FE5D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E5D52"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FE5D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E5D52"/>
    <w:rPr>
      <w:rFonts w:ascii="Arial" w:hAnsi="Arial" w:cs="Times New Roman"/>
      <w:sz w:val="24"/>
    </w:rPr>
  </w:style>
  <w:style w:type="table" w:styleId="TableGrid">
    <w:name w:val="Table Grid"/>
    <w:basedOn w:val="TableNormal"/>
    <w:uiPriority w:val="99"/>
    <w:rsid w:val="00FE5D5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E5D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5D5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FB2B42"/>
    <w:pPr>
      <w:jc w:val="left"/>
    </w:pPr>
    <w:rPr>
      <w:rFonts w:eastAsia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B2B42"/>
    <w:rPr>
      <w:rFonts w:ascii="Arial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FB2B4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B2B42"/>
    <w:rPr>
      <w:rFonts w:ascii="Arial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7572C1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BB2837"/>
    <w:rPr>
      <w:rFonts w:eastAsia="Times New Roman"/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6A6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E21D6F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0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947f9f-32ff-4b13-858d-b87c16daa557" xsi:nil="true"/>
    <lcf76f155ced4ddcb4097134ff3c332f xmlns="b69ff3df-5754-4f2b-a545-bb9a6b22195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A06F1FF66C34B86CE8B9B42E01DD4" ma:contentTypeVersion="13" ma:contentTypeDescription="Create a new document." ma:contentTypeScope="" ma:versionID="06a1e6f9b93ea74482155a45b858e18f">
  <xsd:schema xmlns:xsd="http://www.w3.org/2001/XMLSchema" xmlns:xs="http://www.w3.org/2001/XMLSchema" xmlns:p="http://schemas.microsoft.com/office/2006/metadata/properties" xmlns:ns2="b69ff3df-5754-4f2b-a545-bb9a6b221953" xmlns:ns3="23947f9f-32ff-4b13-858d-b87c16daa557" targetNamespace="http://schemas.microsoft.com/office/2006/metadata/properties" ma:root="true" ma:fieldsID="8f7f2009ed4860c0e94ad73016a646e5" ns2:_="" ns3:_="">
    <xsd:import namespace="b69ff3df-5754-4f2b-a545-bb9a6b221953"/>
    <xsd:import namespace="23947f9f-32ff-4b13-858d-b87c16daa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ff3df-5754-4f2b-a545-bb9a6b221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140744e-a354-4330-846b-794eff349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47f9f-32ff-4b13-858d-b87c16daa55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59b911-de31-496b-b343-03adc6a0964d}" ma:internalName="TaxCatchAll" ma:showField="CatchAllData" ma:web="23947f9f-32ff-4b13-858d-b87c16daa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0B5BB-CE45-455E-AA13-D93328E4CA7D}">
  <ds:schemaRefs>
    <ds:schemaRef ds:uri="http://schemas.microsoft.com/office/2006/metadata/properties"/>
    <ds:schemaRef ds:uri="http://schemas.microsoft.com/office/infopath/2007/PartnerControls"/>
    <ds:schemaRef ds:uri="23947f9f-32ff-4b13-858d-b87c16daa557"/>
    <ds:schemaRef ds:uri="b69ff3df-5754-4f2b-a545-bb9a6b221953"/>
  </ds:schemaRefs>
</ds:datastoreItem>
</file>

<file path=customXml/itemProps2.xml><?xml version="1.0" encoding="utf-8"?>
<ds:datastoreItem xmlns:ds="http://schemas.openxmlformats.org/officeDocument/2006/customXml" ds:itemID="{ED88DE5A-56D2-4E45-B6BD-D328890D2A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EB4F7-6EB6-4042-A5E8-687AE5EAE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ff3df-5754-4f2b-a545-bb9a6b221953"/>
    <ds:schemaRef ds:uri="23947f9f-32ff-4b13-858d-b87c16daa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1433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</vt:lpstr>
    </vt:vector>
  </TitlesOfParts>
  <Company>RM plc</Company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creator>elaine kyle;Melanie Morris</dc:creator>
  <cp:lastModifiedBy>Jillian Woolmer</cp:lastModifiedBy>
  <cp:revision>3</cp:revision>
  <cp:lastPrinted>2017-01-24T10:51:00Z</cp:lastPrinted>
  <dcterms:created xsi:type="dcterms:W3CDTF">2026-03-02T10:59:00Z</dcterms:created>
  <dcterms:modified xsi:type="dcterms:W3CDTF">2026-04-27T08:39:00Z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cf96c1e8-e767-48e2-bbb0-de9c25f41adf</vt:lpwstr>
  </property>
  <property fmtid="{D5CDD505-2E9C-101B-9397-08002B2CF9AE}" pid="3" name="ContentTypeId">
    <vt:lpwstr>0x0101000C0A06F1FF66C34B86CE8B9B42E01DD4</vt:lpwstr>
  </property>
  <property fmtid="{D5CDD505-2E9C-101B-9397-08002B2CF9AE}" pid="4" name="_NewReviewCycle">
    <vt:lpwstr/>
  </property>
  <property fmtid="{D5CDD505-2E9C-101B-9397-08002B2CF9AE}" pid="5" name="Order">
    <vt:r8>1978400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AdHocReviewCycleID">
    <vt:i4>-1427913881</vt:i4>
  </property>
  <property fmtid="{D5CDD505-2E9C-101B-9397-08002B2CF9AE}" pid="13" name="_EmailSubject">
    <vt:lpwstr>Website Policies and Procedures</vt:lpwstr>
  </property>
  <property fmtid="{D5CDD505-2E9C-101B-9397-08002B2CF9AE}" pid="14" name="_AuthorEmail">
    <vt:lpwstr>jwool1sc@stokecoll.ac.uk</vt:lpwstr>
  </property>
  <property fmtid="{D5CDD505-2E9C-101B-9397-08002B2CF9AE}" pid="15" name="_AuthorEmailDisplayName">
    <vt:lpwstr>Jillian Woolmer</vt:lpwstr>
  </property>
  <property fmtid="{D5CDD505-2E9C-101B-9397-08002B2CF9AE}" pid="16" name="_PreviousAdHocReviewCycleID">
    <vt:i4>187284304</vt:i4>
  </property>
  <property fmtid="{D5CDD505-2E9C-101B-9397-08002B2CF9AE}" pid="18" name="docLang">
    <vt:lpwstr>en</vt:lpwstr>
  </property>
  <property fmtid="{D5CDD505-2E9C-101B-9397-08002B2CF9AE}" pid="19" name="MediaServiceImageTags">
    <vt:lpwstr/>
  </property>
</Properties>
</file>